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1200吨麦草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SHMY-CG-MC-20251021</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05"/>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05"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05"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05"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1200吨麦草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05"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05"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w:t>
            </w:r>
            <w:r>
              <w:rPr>
                <w:rFonts w:hint="eastAsia" w:ascii="仿宋" w:hAnsi="仿宋" w:eastAsia="仿宋" w:cs="仿宋"/>
                <w:color w:val="0000FF"/>
                <w:spacing w:val="-11"/>
                <w:sz w:val="24"/>
                <w:szCs w:val="24"/>
                <w:lang w:val="en-US" w:eastAsia="zh-CN"/>
              </w:rPr>
              <w:t>蜀汉</w:t>
            </w:r>
            <w:r>
              <w:rPr>
                <w:rFonts w:hint="eastAsia" w:ascii="仿宋" w:hAnsi="仿宋" w:eastAsia="仿宋" w:cs="仿宋"/>
                <w:spacing w:val="-11"/>
                <w:sz w:val="24"/>
                <w:szCs w:val="24"/>
                <w:lang w:val="en-US" w:eastAsia="zh-CN"/>
              </w:rPr>
              <w:t>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05"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1200吨麦草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05"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05"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2 1 </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05"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05"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97E5D78">
      <w:pPr>
        <w:pStyle w:val="2"/>
        <w:rPr>
          <w:rFonts w:hint="eastAsia"/>
          <w:lang w:eastAsia="zh-CN"/>
        </w:rPr>
      </w:pPr>
      <w:r>
        <w:rPr>
          <w:rFonts w:hint="eastAsia" w:ascii="仿宋" w:hAnsi="仿宋" w:eastAsia="仿宋" w:cs="仿宋"/>
          <w:b/>
          <w:sz w:val="36"/>
          <w:szCs w:val="28"/>
          <w:lang w:val="en-US" w:eastAsia="zh-CN"/>
        </w:rPr>
        <w:t>麦草</w:t>
      </w:r>
    </w:p>
    <w:tbl>
      <w:tblPr>
        <w:tblStyle w:val="4"/>
        <w:tblpPr w:leftFromText="180" w:rightFromText="180" w:vertAnchor="text" w:horzAnchor="page" w:tblpXSpec="center" w:tblpY="85"/>
        <w:tblOverlap w:val="never"/>
        <w:tblW w:w="10157" w:type="dxa"/>
        <w:jc w:val="center"/>
        <w:tblLayout w:type="autofit"/>
        <w:tblCellMar>
          <w:top w:w="0" w:type="dxa"/>
          <w:left w:w="108" w:type="dxa"/>
          <w:bottom w:w="0" w:type="dxa"/>
          <w:right w:w="108" w:type="dxa"/>
        </w:tblCellMar>
      </w:tblPr>
      <w:tblGrid>
        <w:gridCol w:w="1251"/>
        <w:gridCol w:w="3266"/>
        <w:gridCol w:w="1410"/>
        <w:gridCol w:w="1410"/>
        <w:gridCol w:w="1410"/>
        <w:gridCol w:w="1410"/>
      </w:tblGrid>
      <w:tr w14:paraId="09BE62E2">
        <w:tblPrEx>
          <w:tblCellMar>
            <w:top w:w="0" w:type="dxa"/>
            <w:left w:w="108" w:type="dxa"/>
            <w:bottom w:w="0" w:type="dxa"/>
            <w:right w:w="108" w:type="dxa"/>
          </w:tblCellMar>
        </w:tblPrEx>
        <w:trPr>
          <w:trHeight w:val="269" w:hRule="atLeast"/>
          <w:jc w:val="center"/>
        </w:trPr>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C1A">
            <w:pPr>
              <w:rPr>
                <w:rFonts w:ascii="仿宋" w:hAnsi="仿宋" w:eastAsia="仿宋" w:cs="仿宋"/>
                <w:b/>
                <w:bCs/>
                <w:sz w:val="24"/>
                <w:szCs w:val="24"/>
              </w:rPr>
            </w:pPr>
            <w:r>
              <w:rPr>
                <w:rFonts w:hint="eastAsia" w:ascii="仿宋" w:hAnsi="仿宋" w:eastAsia="仿宋" w:cs="仿宋"/>
                <w:b/>
                <w:bCs/>
                <w:sz w:val="24"/>
                <w:szCs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D661">
            <w:pPr>
              <w:rPr>
                <w:rFonts w:ascii="仿宋" w:hAnsi="仿宋" w:eastAsia="仿宋" w:cs="仿宋"/>
                <w:b/>
                <w:bCs/>
                <w:sz w:val="24"/>
                <w:szCs w:val="24"/>
              </w:rPr>
            </w:pPr>
            <w:r>
              <w:rPr>
                <w:rFonts w:hint="eastAsia" w:ascii="仿宋" w:hAnsi="仿宋" w:eastAsia="仿宋" w:cs="仿宋"/>
                <w:b/>
                <w:bCs/>
                <w:sz w:val="24"/>
                <w:szCs w:val="24"/>
              </w:rPr>
              <w:t>标准值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151">
            <w:pPr>
              <w:rPr>
                <w:rFonts w:ascii="仿宋" w:hAnsi="仿宋" w:eastAsia="仿宋" w:cs="仿宋"/>
                <w:b/>
                <w:bCs/>
                <w:sz w:val="24"/>
                <w:szCs w:val="24"/>
              </w:rPr>
            </w:pPr>
            <w:r>
              <w:rPr>
                <w:rFonts w:hint="eastAsia" w:ascii="仿宋" w:hAnsi="仿宋" w:eastAsia="仿宋" w:cs="仿宋"/>
                <w:b/>
                <w:bCs/>
                <w:sz w:val="24"/>
                <w:szCs w:val="24"/>
              </w:rPr>
              <w:t>退货值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F732">
            <w:pPr>
              <w:rPr>
                <w:rFonts w:ascii="仿宋" w:hAnsi="仿宋" w:eastAsia="仿宋" w:cs="仿宋"/>
                <w:b/>
                <w:bCs/>
                <w:sz w:val="24"/>
                <w:szCs w:val="24"/>
              </w:rPr>
            </w:pPr>
            <w:r>
              <w:rPr>
                <w:rFonts w:hint="eastAsia" w:ascii="仿宋" w:hAnsi="仿宋" w:eastAsia="仿宋" w:cs="仿宋"/>
                <w:b/>
                <w:bCs/>
                <w:sz w:val="24"/>
                <w:szCs w:val="24"/>
              </w:rPr>
              <w:t>检测要求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88D4">
            <w:pPr>
              <w:rPr>
                <w:rFonts w:ascii="仿宋" w:hAnsi="仿宋" w:eastAsia="仿宋" w:cs="仿宋"/>
                <w:b/>
                <w:bCs/>
                <w:sz w:val="24"/>
                <w:szCs w:val="24"/>
              </w:rPr>
            </w:pPr>
            <w:r>
              <w:rPr>
                <w:rFonts w:hint="eastAsia" w:ascii="仿宋" w:hAnsi="仿宋" w:eastAsia="仿宋" w:cs="仿宋"/>
                <w:b/>
                <w:bCs/>
                <w:sz w:val="24"/>
                <w:szCs w:val="24"/>
              </w:rPr>
              <w:t>备注</w:t>
            </w:r>
          </w:p>
        </w:tc>
      </w:tr>
      <w:tr w14:paraId="302A2347">
        <w:tblPrEx>
          <w:tblCellMar>
            <w:top w:w="0" w:type="dxa"/>
            <w:left w:w="108" w:type="dxa"/>
            <w:bottom w:w="0" w:type="dxa"/>
            <w:right w:w="108" w:type="dxa"/>
          </w:tblCellMar>
        </w:tblPrEx>
        <w:trPr>
          <w:trHeight w:val="269" w:hRule="atLeast"/>
          <w:jc w:val="center"/>
        </w:trPr>
        <w:tc>
          <w:tcPr>
            <w:tcW w:w="1251" w:type="dxa"/>
            <w:vMerge w:val="restart"/>
            <w:tcBorders>
              <w:top w:val="single" w:color="000000" w:sz="4" w:space="0"/>
              <w:left w:val="single" w:color="000000" w:sz="4" w:space="0"/>
              <w:right w:val="single" w:color="000000" w:sz="4" w:space="0"/>
            </w:tcBorders>
            <w:shd w:val="clear" w:color="auto" w:fill="auto"/>
            <w:noWrap/>
            <w:vAlign w:val="center"/>
          </w:tcPr>
          <w:p w14:paraId="482FD039">
            <w:pPr>
              <w:rPr>
                <w:rFonts w:ascii="仿宋" w:hAnsi="仿宋" w:eastAsia="仿宋" w:cs="仿宋"/>
                <w:b/>
                <w:bCs/>
                <w:sz w:val="24"/>
                <w:szCs w:val="24"/>
              </w:rPr>
            </w:pPr>
            <w:r>
              <w:rPr>
                <w:rFonts w:hint="eastAsia" w:ascii="仿宋" w:hAnsi="仿宋" w:eastAsia="仿宋" w:cs="仿宋"/>
                <w:b/>
                <w:bCs/>
                <w:sz w:val="24"/>
                <w:szCs w:val="24"/>
              </w:rPr>
              <w:t>风险指标</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09F5">
            <w:pPr>
              <w:rPr>
                <w:rFonts w:ascii="仿宋" w:hAnsi="仿宋" w:eastAsia="仿宋" w:cs="仿宋"/>
                <w:b/>
                <w:bCs/>
                <w:sz w:val="24"/>
                <w:szCs w:val="24"/>
              </w:rPr>
            </w:pPr>
            <w:r>
              <w:rPr>
                <w:rFonts w:hint="eastAsia" w:ascii="仿宋" w:hAnsi="仿宋" w:eastAsia="仿宋" w:cs="仿宋"/>
                <w:b/>
                <w:bCs/>
                <w:sz w:val="24"/>
                <w:szCs w:val="24"/>
              </w:rPr>
              <w:t>黄曲霉毒素 B1，（ug/kg）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C45">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0A33">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411">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CBCB">
            <w:pPr>
              <w:rPr>
                <w:rFonts w:ascii="仿宋" w:hAnsi="仿宋" w:eastAsia="仿宋" w:cs="仿宋"/>
                <w:b/>
                <w:bCs/>
                <w:sz w:val="24"/>
                <w:szCs w:val="24"/>
              </w:rPr>
            </w:pPr>
            <w:r>
              <w:rPr>
                <w:rFonts w:hint="eastAsia" w:ascii="仿宋" w:hAnsi="仿宋" w:eastAsia="仿宋" w:cs="仿宋"/>
                <w:b/>
                <w:bCs/>
                <w:sz w:val="24"/>
                <w:szCs w:val="24"/>
              </w:rPr>
              <w:t>-</w:t>
            </w:r>
          </w:p>
        </w:tc>
      </w:tr>
      <w:tr w14:paraId="5275E65B">
        <w:tblPrEx>
          <w:tblCellMar>
            <w:top w:w="0" w:type="dxa"/>
            <w:left w:w="108" w:type="dxa"/>
            <w:bottom w:w="0" w:type="dxa"/>
            <w:right w:w="108" w:type="dxa"/>
          </w:tblCellMar>
        </w:tblPrEx>
        <w:trPr>
          <w:trHeight w:val="299" w:hRule="atLeast"/>
          <w:jc w:val="center"/>
        </w:trPr>
        <w:tc>
          <w:tcPr>
            <w:tcW w:w="1251" w:type="dxa"/>
            <w:vMerge w:val="continue"/>
            <w:tcBorders>
              <w:left w:val="single" w:color="000000" w:sz="4" w:space="0"/>
              <w:right w:val="single" w:color="000000" w:sz="4" w:space="0"/>
            </w:tcBorders>
            <w:shd w:val="clear" w:color="auto" w:fill="auto"/>
            <w:noWrap/>
            <w:vAlign w:val="center"/>
          </w:tcPr>
          <w:p w14:paraId="196E0FCB">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F3C">
            <w:pPr>
              <w:rPr>
                <w:rFonts w:ascii="仿宋" w:hAnsi="仿宋" w:eastAsia="仿宋" w:cs="仿宋"/>
                <w:b/>
                <w:bCs/>
                <w:sz w:val="24"/>
                <w:szCs w:val="24"/>
              </w:rPr>
            </w:pPr>
            <w:r>
              <w:rPr>
                <w:rFonts w:hint="eastAsia" w:ascii="仿宋" w:hAnsi="仿宋" w:eastAsia="仿宋" w:cs="仿宋"/>
                <w:b/>
                <w:bCs/>
                <w:sz w:val="24"/>
                <w:szCs w:val="24"/>
              </w:rPr>
              <w:t>玉米赤霉烯酮（μg/kg）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7A">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8AF">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DE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684">
            <w:pPr>
              <w:rPr>
                <w:rFonts w:ascii="仿宋" w:hAnsi="仿宋" w:eastAsia="仿宋" w:cs="仿宋"/>
                <w:b/>
                <w:bCs/>
                <w:sz w:val="24"/>
                <w:szCs w:val="24"/>
              </w:rPr>
            </w:pPr>
            <w:r>
              <w:rPr>
                <w:rFonts w:hint="eastAsia" w:ascii="仿宋" w:hAnsi="仿宋" w:eastAsia="仿宋" w:cs="仿宋"/>
                <w:b/>
                <w:bCs/>
                <w:sz w:val="24"/>
                <w:szCs w:val="24"/>
              </w:rPr>
              <w:t>-</w:t>
            </w:r>
          </w:p>
        </w:tc>
      </w:tr>
      <w:tr w14:paraId="30CC2BC3">
        <w:tblPrEx>
          <w:tblCellMar>
            <w:top w:w="0" w:type="dxa"/>
            <w:left w:w="108" w:type="dxa"/>
            <w:bottom w:w="0" w:type="dxa"/>
            <w:right w:w="108" w:type="dxa"/>
          </w:tblCellMar>
        </w:tblPrEx>
        <w:trPr>
          <w:trHeight w:val="307" w:hRule="atLeast"/>
          <w:jc w:val="center"/>
        </w:trPr>
        <w:tc>
          <w:tcPr>
            <w:tcW w:w="1251" w:type="dxa"/>
            <w:vMerge w:val="continue"/>
            <w:tcBorders>
              <w:left w:val="single" w:color="000000" w:sz="4" w:space="0"/>
              <w:right w:val="single" w:color="000000" w:sz="4" w:space="0"/>
            </w:tcBorders>
            <w:shd w:val="clear" w:color="auto" w:fill="auto"/>
            <w:noWrap/>
            <w:vAlign w:val="center"/>
          </w:tcPr>
          <w:p w14:paraId="63C5D13E">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4E95">
            <w:pPr>
              <w:rPr>
                <w:rFonts w:ascii="仿宋" w:hAnsi="仿宋" w:eastAsia="仿宋" w:cs="仿宋"/>
                <w:b/>
                <w:bCs/>
                <w:sz w:val="24"/>
                <w:szCs w:val="24"/>
              </w:rPr>
            </w:pPr>
            <w:r>
              <w:rPr>
                <w:rFonts w:hint="eastAsia" w:ascii="仿宋" w:hAnsi="仿宋" w:eastAsia="仿宋" w:cs="仿宋"/>
                <w:b/>
                <w:bCs/>
                <w:sz w:val="24"/>
                <w:szCs w:val="24"/>
              </w:rPr>
              <w:t>水分，%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7C4">
            <w:pPr>
              <w:rPr>
                <w:rFonts w:ascii="仿宋" w:hAnsi="仿宋" w:eastAsia="仿宋" w:cs="仿宋"/>
                <w:b/>
                <w:bCs/>
                <w:sz w:val="24"/>
                <w:szCs w:val="24"/>
              </w:rPr>
            </w:pPr>
            <w:r>
              <w:rPr>
                <w:rFonts w:hint="eastAsia" w:ascii="仿宋" w:hAnsi="仿宋" w:eastAsia="仿宋" w:cs="仿宋"/>
                <w:b/>
                <w:bCs/>
                <w:sz w:val="24"/>
                <w:szCs w:val="24"/>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6BA">
            <w:pPr>
              <w:rPr>
                <w:rFonts w:ascii="仿宋" w:hAnsi="仿宋" w:eastAsia="仿宋" w:cs="仿宋"/>
                <w:b/>
                <w:bCs/>
                <w:sz w:val="24"/>
                <w:szCs w:val="24"/>
              </w:rPr>
            </w:pPr>
            <w:r>
              <w:rPr>
                <w:rFonts w:hint="eastAsia" w:ascii="仿宋" w:hAnsi="仿宋" w:eastAsia="仿宋" w:cs="仿宋"/>
                <w:b/>
                <w:bCs/>
                <w:sz w:val="24"/>
                <w:szCs w:val="24"/>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512">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F8F">
            <w:pPr>
              <w:rPr>
                <w:rFonts w:ascii="仿宋" w:hAnsi="仿宋" w:eastAsia="仿宋" w:cs="仿宋"/>
                <w:b/>
                <w:bCs/>
                <w:sz w:val="24"/>
                <w:szCs w:val="24"/>
              </w:rPr>
            </w:pPr>
          </w:p>
        </w:tc>
      </w:tr>
      <w:tr w14:paraId="6F55AA17">
        <w:tblPrEx>
          <w:tblCellMar>
            <w:top w:w="0" w:type="dxa"/>
            <w:left w:w="108" w:type="dxa"/>
            <w:bottom w:w="0" w:type="dxa"/>
            <w:right w:w="108" w:type="dxa"/>
          </w:tblCellMar>
        </w:tblPrEx>
        <w:trPr>
          <w:trHeight w:val="444" w:hRule="atLeast"/>
          <w:jc w:val="center"/>
        </w:trPr>
        <w:tc>
          <w:tcPr>
            <w:tcW w:w="1251" w:type="dxa"/>
            <w:tcBorders>
              <w:top w:val="single" w:color="000000" w:sz="4" w:space="0"/>
              <w:left w:val="single" w:color="000000" w:sz="4" w:space="0"/>
              <w:right w:val="single" w:color="000000" w:sz="4" w:space="0"/>
            </w:tcBorders>
            <w:shd w:val="clear" w:color="auto" w:fill="auto"/>
            <w:noWrap/>
            <w:vAlign w:val="center"/>
          </w:tcPr>
          <w:p w14:paraId="7087CCAE">
            <w:pPr>
              <w:rPr>
                <w:rFonts w:ascii="仿宋" w:hAnsi="仿宋" w:eastAsia="仿宋" w:cs="仿宋"/>
                <w:b/>
                <w:bCs/>
                <w:sz w:val="24"/>
                <w:szCs w:val="24"/>
              </w:rPr>
            </w:pPr>
            <w:r>
              <w:rPr>
                <w:rFonts w:hint="eastAsia" w:ascii="仿宋" w:hAnsi="仿宋" w:eastAsia="仿宋" w:cs="仿宋"/>
                <w:b/>
                <w:bCs/>
                <w:sz w:val="24"/>
                <w:szCs w:val="24"/>
              </w:rPr>
              <w:t>理化指标</w:t>
            </w:r>
          </w:p>
        </w:tc>
        <w:tc>
          <w:tcPr>
            <w:tcW w:w="3266" w:type="dxa"/>
            <w:tcBorders>
              <w:top w:val="single" w:color="000000" w:sz="4" w:space="0"/>
              <w:left w:val="single" w:color="000000" w:sz="4" w:space="0"/>
              <w:right w:val="single" w:color="000000" w:sz="4" w:space="0"/>
            </w:tcBorders>
            <w:shd w:val="clear" w:color="auto" w:fill="auto"/>
            <w:noWrap/>
            <w:vAlign w:val="center"/>
          </w:tcPr>
          <w:p w14:paraId="490F1395">
            <w:pPr>
              <w:rPr>
                <w:rFonts w:ascii="仿宋" w:hAnsi="仿宋" w:eastAsia="仿宋" w:cs="仿宋"/>
                <w:b/>
                <w:bCs/>
                <w:sz w:val="24"/>
                <w:szCs w:val="24"/>
              </w:rPr>
            </w:pPr>
            <w:r>
              <w:rPr>
                <w:rFonts w:hint="eastAsia" w:ascii="仿宋" w:hAnsi="仿宋" w:eastAsia="仿宋" w:cs="仿宋"/>
                <w:b/>
                <w:bCs/>
                <w:sz w:val="24"/>
                <w:szCs w:val="24"/>
              </w:rPr>
              <w:t>粗灰分，%</w:t>
            </w:r>
          </w:p>
        </w:tc>
        <w:tc>
          <w:tcPr>
            <w:tcW w:w="1410" w:type="dxa"/>
            <w:tcBorders>
              <w:top w:val="single" w:color="000000" w:sz="4" w:space="0"/>
              <w:left w:val="single" w:color="000000" w:sz="4" w:space="0"/>
              <w:right w:val="single" w:color="000000" w:sz="4" w:space="0"/>
            </w:tcBorders>
            <w:shd w:val="clear" w:color="auto" w:fill="auto"/>
            <w:noWrap/>
            <w:vAlign w:val="center"/>
          </w:tcPr>
          <w:p w14:paraId="3B461EE9">
            <w:pPr>
              <w:rPr>
                <w:rFonts w:ascii="仿宋" w:hAnsi="仿宋" w:eastAsia="仿宋" w:cs="仿宋"/>
                <w:b/>
                <w:bCs/>
                <w:sz w:val="24"/>
                <w:szCs w:val="24"/>
              </w:rPr>
            </w:pPr>
            <w:r>
              <w:rPr>
                <w:rFonts w:hint="eastAsia" w:ascii="仿宋" w:hAnsi="仿宋" w:eastAsia="仿宋" w:cs="仿宋"/>
                <w:b/>
                <w:bCs/>
                <w:sz w:val="24"/>
                <w:szCs w:val="24"/>
              </w:rPr>
              <w:t>≤12.5</w:t>
            </w:r>
          </w:p>
        </w:tc>
        <w:tc>
          <w:tcPr>
            <w:tcW w:w="1410" w:type="dxa"/>
            <w:tcBorders>
              <w:top w:val="single" w:color="000000" w:sz="4" w:space="0"/>
              <w:left w:val="single" w:color="000000" w:sz="4" w:space="0"/>
              <w:right w:val="single" w:color="000000" w:sz="4" w:space="0"/>
            </w:tcBorders>
            <w:shd w:val="clear" w:color="auto" w:fill="auto"/>
            <w:noWrap/>
            <w:vAlign w:val="center"/>
          </w:tcPr>
          <w:p w14:paraId="06426BBB">
            <w:pPr>
              <w:rPr>
                <w:rFonts w:ascii="仿宋" w:hAnsi="仿宋" w:eastAsia="仿宋" w:cs="仿宋"/>
                <w:b/>
                <w:bCs/>
                <w:sz w:val="24"/>
                <w:szCs w:val="24"/>
              </w:rPr>
            </w:pPr>
            <w:r>
              <w:rPr>
                <w:rFonts w:hint="eastAsia" w:ascii="仿宋" w:hAnsi="仿宋" w:eastAsia="仿宋" w:cs="仿宋"/>
                <w:b/>
                <w:bCs/>
                <w:sz w:val="24"/>
                <w:szCs w:val="24"/>
              </w:rPr>
              <w:t>＞14.0</w:t>
            </w:r>
          </w:p>
        </w:tc>
        <w:tc>
          <w:tcPr>
            <w:tcW w:w="1410" w:type="dxa"/>
            <w:tcBorders>
              <w:top w:val="single" w:color="000000" w:sz="4" w:space="0"/>
              <w:left w:val="single" w:color="000000" w:sz="4" w:space="0"/>
              <w:right w:val="single" w:color="000000" w:sz="4" w:space="0"/>
            </w:tcBorders>
            <w:shd w:val="clear" w:color="auto" w:fill="auto"/>
            <w:noWrap/>
            <w:vAlign w:val="center"/>
          </w:tcPr>
          <w:p w14:paraId="11DBB8D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4B3F">
            <w:pPr>
              <w:rPr>
                <w:rFonts w:ascii="仿宋" w:hAnsi="仿宋" w:eastAsia="仿宋" w:cs="仿宋"/>
                <w:b/>
                <w:bCs/>
                <w:sz w:val="24"/>
                <w:szCs w:val="24"/>
              </w:rPr>
            </w:pPr>
            <w:r>
              <w:rPr>
                <w:rFonts w:hint="eastAsia" w:ascii="仿宋" w:hAnsi="仿宋" w:eastAsia="仿宋" w:cs="仿宋"/>
                <w:b/>
                <w:bCs/>
                <w:sz w:val="24"/>
                <w:szCs w:val="24"/>
              </w:rPr>
              <w:t>干基</w:t>
            </w:r>
          </w:p>
        </w:tc>
      </w:tr>
      <w:tr w14:paraId="6C2B7972">
        <w:tblPrEx>
          <w:tblCellMar>
            <w:top w:w="0" w:type="dxa"/>
            <w:left w:w="108" w:type="dxa"/>
            <w:bottom w:w="0" w:type="dxa"/>
            <w:right w:w="108" w:type="dxa"/>
          </w:tblCellMar>
        </w:tblPrEx>
        <w:trPr>
          <w:trHeight w:val="420" w:hRule="atLeast"/>
          <w:jc w:val="center"/>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2F84">
            <w:pPr>
              <w:rPr>
                <w:rFonts w:ascii="仿宋" w:hAnsi="仿宋" w:eastAsia="仿宋" w:cs="仿宋"/>
                <w:b/>
                <w:bCs/>
                <w:sz w:val="24"/>
                <w:szCs w:val="24"/>
              </w:rPr>
            </w:pPr>
            <w:r>
              <w:rPr>
                <w:rFonts w:hint="eastAsia" w:ascii="仿宋" w:hAnsi="仿宋" w:eastAsia="仿宋" w:cs="仿宋"/>
                <w:b/>
                <w:bCs/>
                <w:sz w:val="24"/>
                <w:szCs w:val="24"/>
              </w:rPr>
              <w:t>卫生指标</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C3F">
            <w:pPr>
              <w:rPr>
                <w:rFonts w:ascii="仿宋" w:hAnsi="仿宋" w:eastAsia="仿宋" w:cs="仿宋"/>
                <w:b/>
                <w:bCs/>
                <w:sz w:val="24"/>
                <w:szCs w:val="24"/>
              </w:rPr>
            </w:pPr>
            <w:r>
              <w:rPr>
                <w:rFonts w:hint="eastAsia" w:ascii="仿宋" w:hAnsi="仿宋" w:eastAsia="仿宋" w:cs="仿宋"/>
                <w:b/>
                <w:bCs/>
                <w:sz w:val="24"/>
                <w:szCs w:val="24"/>
              </w:rPr>
              <w:t>其他符合 GB/T13078-2017 规定标准</w:t>
            </w:r>
          </w:p>
        </w:tc>
      </w:tr>
      <w:tr w14:paraId="12A02A9A">
        <w:tblPrEx>
          <w:tblCellMar>
            <w:top w:w="0" w:type="dxa"/>
            <w:left w:w="108" w:type="dxa"/>
            <w:bottom w:w="0" w:type="dxa"/>
            <w:right w:w="108" w:type="dxa"/>
          </w:tblCellMar>
        </w:tblPrEx>
        <w:trPr>
          <w:trHeight w:val="1687" w:hRule="atLeast"/>
          <w:jc w:val="center"/>
        </w:trPr>
        <w:tc>
          <w:tcPr>
            <w:tcW w:w="10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0AB5F">
            <w:pPr>
              <w:rPr>
                <w:rFonts w:ascii="仿宋" w:hAnsi="仿宋" w:eastAsia="仿宋" w:cs="仿宋"/>
                <w:b/>
                <w:bCs/>
                <w:sz w:val="24"/>
                <w:szCs w:val="24"/>
              </w:rPr>
            </w:pPr>
            <w:r>
              <w:rPr>
                <w:rFonts w:hint="eastAsia" w:ascii="仿宋" w:hAnsi="仿宋" w:eastAsia="仿宋" w:cs="仿宋"/>
                <w:b/>
                <w:bCs/>
                <w:sz w:val="24"/>
                <w:szCs w:val="24"/>
              </w:rPr>
              <w:t>（1）对灰分在12.5%-14%的干草扣重接收，扣罚重量=当批次到货总重量*（检测值-12.5%）*2.5。</w:t>
            </w:r>
          </w:p>
          <w:p w14:paraId="13ECA085">
            <w:pPr>
              <w:rPr>
                <w:rFonts w:ascii="仿宋" w:hAnsi="仿宋" w:eastAsia="仿宋" w:cs="仿宋"/>
                <w:b/>
                <w:bCs/>
                <w:sz w:val="24"/>
                <w:szCs w:val="24"/>
              </w:rPr>
            </w:pPr>
            <w:r>
              <w:rPr>
                <w:rFonts w:hint="eastAsia" w:ascii="仿宋" w:hAnsi="仿宋" w:eastAsia="仿宋" w:cs="仿宋"/>
                <w:b/>
                <w:bCs/>
                <w:sz w:val="24"/>
                <w:szCs w:val="24"/>
              </w:rPr>
              <w:t>（2）干草水分检测要分大小捆，每批次干草水分检测需10点取样后取平均值作为最终检测数据。水分检测指标＞13%，≤15%的扣重接收，扣罚重量=当批次到货总重量*（检测值-12.5%）*2.5。</w:t>
            </w:r>
          </w:p>
        </w:tc>
      </w:tr>
    </w:tbl>
    <w:p w14:paraId="77F01824">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keepNext w:val="0"/>
        <w:keepLines w:val="0"/>
        <w:pageBreakBefore w:val="0"/>
        <w:widowControl/>
        <w:tabs>
          <w:tab w:val="left" w:pos="480"/>
        </w:tabs>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kern w:val="1"/>
          <w:sz w:val="20"/>
          <w:szCs w:val="20"/>
        </w:rPr>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75E5A7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300"/>
        <w:textAlignment w:val="baseline"/>
        <w:rPr>
          <w:rFonts w:hint="default" w:eastAsia="宋体"/>
          <w:color w:val="0000FF"/>
          <w:sz w:val="32"/>
          <w:szCs w:val="32"/>
          <w:lang w:val="en-US" w:eastAsia="zh-CN"/>
        </w:rPr>
      </w:pPr>
      <w:r>
        <w:rPr>
          <w:rFonts w:hint="eastAsia" w:cs="宋体"/>
          <w:color w:val="0000FF"/>
          <w:kern w:val="1"/>
          <w:sz w:val="22"/>
          <w:szCs w:val="22"/>
          <w:lang w:val="en-US" w:eastAsia="zh-CN"/>
        </w:rPr>
        <w:t>麦草应为新疆麦草</w:t>
      </w:r>
    </w:p>
    <w:p w14:paraId="28289DAE">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0A5A9E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72368A7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60E8C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304" w:bottom="1338" w:left="1134" w:header="799" w:footer="723" w:gutter="0"/>
          <w:cols w:space="720" w:num="1"/>
        </w:sectPr>
      </w:pPr>
      <w:r>
        <w:rPr>
          <w:rFonts w:hint="eastAsia" w:ascii="仿宋" w:hAnsi="仿宋" w:eastAsia="仿宋" w:cs="仿宋"/>
          <w:b/>
          <w:bCs/>
          <w:sz w:val="24"/>
          <w:szCs w:val="24"/>
        </w:rPr>
        <w:t>3、运输过程中产生的所有费用，由供货方自行承担。</w:t>
      </w:r>
    </w:p>
    <w:p w14:paraId="3D3200D3">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67ACE484">
            <w:pPr>
              <w:pStyle w:val="2"/>
              <w:rPr>
                <w:rFonts w:hint="default"/>
                <w:lang w:val="en-US" w:eastAsia="zh-CN"/>
              </w:rPr>
            </w:pPr>
            <w:r>
              <w:rPr>
                <w:rFonts w:hint="eastAsia"/>
                <w:color w:val="0000FF"/>
                <w:lang w:val="en-US" w:eastAsia="zh-CN"/>
              </w:rPr>
              <w:t>报价麦草应为新疆麦草</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bookmarkStart w:id="0" w:name="_GoBack"/>
      <w:bookmarkEnd w:id="0"/>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9177C5"/>
    <w:rsid w:val="04DE60B0"/>
    <w:rsid w:val="078925D1"/>
    <w:rsid w:val="097018D1"/>
    <w:rsid w:val="0D3F4AE8"/>
    <w:rsid w:val="0DD3100C"/>
    <w:rsid w:val="11710BAD"/>
    <w:rsid w:val="121E5430"/>
    <w:rsid w:val="13CB488C"/>
    <w:rsid w:val="163F0BFC"/>
    <w:rsid w:val="175214DB"/>
    <w:rsid w:val="1A9D5221"/>
    <w:rsid w:val="1CC45546"/>
    <w:rsid w:val="1DCC22E0"/>
    <w:rsid w:val="1F135B57"/>
    <w:rsid w:val="20226AA4"/>
    <w:rsid w:val="20C560FB"/>
    <w:rsid w:val="22887589"/>
    <w:rsid w:val="24A019E5"/>
    <w:rsid w:val="279E76F8"/>
    <w:rsid w:val="2A441B0B"/>
    <w:rsid w:val="311227D0"/>
    <w:rsid w:val="3434782F"/>
    <w:rsid w:val="385C0B47"/>
    <w:rsid w:val="38D9352A"/>
    <w:rsid w:val="393E0E13"/>
    <w:rsid w:val="3E746B53"/>
    <w:rsid w:val="40081B38"/>
    <w:rsid w:val="40C655EA"/>
    <w:rsid w:val="43881600"/>
    <w:rsid w:val="4445400D"/>
    <w:rsid w:val="458C28C6"/>
    <w:rsid w:val="47D91028"/>
    <w:rsid w:val="4E824922"/>
    <w:rsid w:val="4E864704"/>
    <w:rsid w:val="4F2160EF"/>
    <w:rsid w:val="53252A3D"/>
    <w:rsid w:val="53A77524"/>
    <w:rsid w:val="5767239A"/>
    <w:rsid w:val="59270DD1"/>
    <w:rsid w:val="5E711347"/>
    <w:rsid w:val="5E9577E4"/>
    <w:rsid w:val="631725C7"/>
    <w:rsid w:val="69D7130C"/>
    <w:rsid w:val="6E6F2D3E"/>
    <w:rsid w:val="6E846E3A"/>
    <w:rsid w:val="707B5D4B"/>
    <w:rsid w:val="72D8479F"/>
    <w:rsid w:val="72F32737"/>
    <w:rsid w:val="74CC105E"/>
    <w:rsid w:val="76B43FBC"/>
    <w:rsid w:val="773C3348"/>
    <w:rsid w:val="78707F3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2021</Words>
  <Characters>2237</Characters>
  <TotalTime>10</TotalTime>
  <ScaleCrop>false</ScaleCrop>
  <LinksUpToDate>false</LinksUpToDate>
  <CharactersWithSpaces>3245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2025-10-16T08:04:07Z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