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1645吨苹果渣采购</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954" w:firstLineChars="3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QJKJ-CG-PGZ-20251226</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采购名称</w:t>
            </w:r>
          </w:p>
        </w:tc>
        <w:tc>
          <w:tcPr>
            <w:tcW w:w="6824" w:type="dxa"/>
            <w:vAlign w:val="center"/>
          </w:tcPr>
          <w:p w14:paraId="41598F1C">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1645吨苹果渣采购</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张掖市甘州区石岗墩开发区、临泽县、高台县</w:t>
            </w:r>
            <w:bookmarkStart w:id="0" w:name="_GoBack"/>
            <w:bookmarkEnd w:id="0"/>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1645吨苹果渣采购</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w:t>
            </w:r>
            <w:r>
              <w:rPr>
                <w:rFonts w:hint="eastAsia" w:ascii="仿宋" w:hAnsi="仿宋" w:eastAsia="仿宋" w:cs="仿宋"/>
                <w:sz w:val="24"/>
                <w:szCs w:val="24"/>
                <w:vertAlign w:val="baseline"/>
                <w:lang w:eastAsia="zh-CN"/>
              </w:rPr>
              <w:t>采购</w:t>
            </w:r>
            <w:r>
              <w:rPr>
                <w:rFonts w:ascii="仿宋" w:hAnsi="仿宋" w:eastAsia="仿宋" w:cs="仿宋"/>
                <w:sz w:val="24"/>
                <w:szCs w:val="24"/>
                <w:vertAlign w:val="baseline"/>
              </w:rPr>
              <w:t>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2 6</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10"/>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A3B0EC7">
      <w:pPr>
        <w:keepNext w:val="0"/>
        <w:keepLines w:val="0"/>
        <w:widowControl/>
        <w:suppressLineNumbers w:val="0"/>
        <w:spacing w:before="3"/>
        <w:jc w:val="both"/>
        <w:rPr>
          <w:rFonts w:hint="eastAsia" w:ascii="仿宋" w:hAnsi="仿宋" w:eastAsia="仿宋" w:cs="仿宋"/>
          <w:sz w:val="24"/>
          <w:szCs w:val="24"/>
          <w:lang w:val="en-US"/>
        </w:rPr>
      </w:pPr>
      <w:r>
        <w:rPr>
          <w:rFonts w:hint="eastAsia" w:ascii="仿宋" w:hAnsi="仿宋" w:eastAsia="仿宋" w:cs="仿宋"/>
          <w:snapToGrid w:val="0"/>
          <w:color w:val="000000"/>
          <w:kern w:val="0"/>
          <w:sz w:val="24"/>
          <w:szCs w:val="24"/>
          <w:lang w:val="en-US" w:eastAsia="zh-CN" w:bidi="ar"/>
        </w:rPr>
        <w:t>（一）感官标准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3318"/>
        <w:gridCol w:w="3374"/>
      </w:tblGrid>
      <w:tr w14:paraId="0882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407" w:type="dxa"/>
            <w:vAlign w:val="center"/>
          </w:tcPr>
          <w:p w14:paraId="11FB431A">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检验项目</w:t>
            </w:r>
          </w:p>
        </w:tc>
        <w:tc>
          <w:tcPr>
            <w:tcW w:w="3318" w:type="dxa"/>
            <w:vAlign w:val="center"/>
          </w:tcPr>
          <w:p w14:paraId="55E4D719">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基准标准</w:t>
            </w:r>
          </w:p>
        </w:tc>
        <w:tc>
          <w:tcPr>
            <w:tcW w:w="3374" w:type="dxa"/>
            <w:vAlign w:val="center"/>
          </w:tcPr>
          <w:p w14:paraId="2484AC77">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拒收标准</w:t>
            </w:r>
          </w:p>
        </w:tc>
      </w:tr>
      <w:tr w14:paraId="5FBB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343EBCFC">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色泽</w:t>
            </w:r>
          </w:p>
        </w:tc>
        <w:tc>
          <w:tcPr>
            <w:tcW w:w="3318" w:type="dxa"/>
            <w:vAlign w:val="center"/>
          </w:tcPr>
          <w:p w14:paraId="7195406E">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 xml:space="preserve">棕黄色或者棕褐色，色泽新鲜一致。 </w:t>
            </w:r>
          </w:p>
        </w:tc>
        <w:tc>
          <w:tcPr>
            <w:tcW w:w="3374" w:type="dxa"/>
            <w:vAlign w:val="center"/>
          </w:tcPr>
          <w:p w14:paraId="11773EE9">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非标准颜色。</w:t>
            </w:r>
          </w:p>
        </w:tc>
      </w:tr>
      <w:tr w14:paraId="6BF3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407" w:type="dxa"/>
            <w:vAlign w:val="center"/>
          </w:tcPr>
          <w:p w14:paraId="50F55317">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气味</w:t>
            </w:r>
          </w:p>
        </w:tc>
        <w:tc>
          <w:tcPr>
            <w:tcW w:w="3318" w:type="dxa"/>
            <w:vAlign w:val="center"/>
          </w:tcPr>
          <w:p w14:paraId="57129F5D">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 xml:space="preserve">无异味异臭。 </w:t>
            </w:r>
          </w:p>
        </w:tc>
        <w:tc>
          <w:tcPr>
            <w:tcW w:w="3374" w:type="dxa"/>
            <w:vAlign w:val="center"/>
          </w:tcPr>
          <w:p w14:paraId="0894929B">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具有其他异味或腐败变质气味</w:t>
            </w:r>
          </w:p>
        </w:tc>
      </w:tr>
      <w:tr w14:paraId="0165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50883EB2">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组织状态</w:t>
            </w:r>
          </w:p>
        </w:tc>
        <w:tc>
          <w:tcPr>
            <w:tcW w:w="3318" w:type="dxa"/>
            <w:vAlign w:val="center"/>
          </w:tcPr>
          <w:p w14:paraId="6E5DC082">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呈粉碎状或颗粒状，无霉变、无异常结块。</w:t>
            </w:r>
          </w:p>
        </w:tc>
        <w:tc>
          <w:tcPr>
            <w:tcW w:w="3374" w:type="dxa"/>
            <w:vAlign w:val="center"/>
          </w:tcPr>
          <w:p w14:paraId="7E35E2CE">
            <w:pPr>
              <w:widowControl/>
              <w:spacing w:before="3"/>
              <w:jc w:val="left"/>
              <w:rPr>
                <w:rFonts w:hint="eastAsia" w:ascii="仿宋" w:hAnsi="仿宋" w:eastAsia="仿宋" w:cs="仿宋"/>
                <w:sz w:val="24"/>
                <w:szCs w:val="24"/>
                <w:lang w:val="en-US"/>
              </w:rPr>
            </w:pPr>
            <w:r>
              <w:rPr>
                <w:rFonts w:hint="eastAsia" w:ascii="仿宋" w:hAnsi="仿宋" w:eastAsia="仿宋" w:cs="仿宋"/>
                <w:sz w:val="24"/>
                <w:szCs w:val="24"/>
                <w:lang w:val="en-US"/>
              </w:rPr>
              <w:t>发霉变质、异常结块</w:t>
            </w:r>
          </w:p>
          <w:p w14:paraId="217820D1">
            <w:pPr>
              <w:widowControl/>
              <w:spacing w:before="3"/>
              <w:jc w:val="left"/>
              <w:rPr>
                <w:rFonts w:hint="eastAsia" w:ascii="仿宋" w:hAnsi="仿宋" w:eastAsia="仿宋" w:cs="仿宋"/>
                <w:sz w:val="24"/>
                <w:szCs w:val="24"/>
                <w:vertAlign w:val="baseline"/>
                <w:lang w:val="en-US" w:eastAsia="zh-CN"/>
              </w:rPr>
            </w:pPr>
          </w:p>
        </w:tc>
      </w:tr>
      <w:tr w14:paraId="72AA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5CFF7D12">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杂质异物</w:t>
            </w:r>
          </w:p>
        </w:tc>
        <w:tc>
          <w:tcPr>
            <w:tcW w:w="3318" w:type="dxa"/>
            <w:vAlign w:val="center"/>
          </w:tcPr>
          <w:p w14:paraId="52F28A37">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 xml:space="preserve">无牛只不可采食异物、无掺假。 </w:t>
            </w:r>
          </w:p>
        </w:tc>
        <w:tc>
          <w:tcPr>
            <w:tcW w:w="3374" w:type="dxa"/>
            <w:vAlign w:val="center"/>
          </w:tcPr>
          <w:p w14:paraId="1CEB8501">
            <w:pPr>
              <w:widowControl/>
              <w:spacing w:before="3"/>
              <w:jc w:val="left"/>
              <w:rPr>
                <w:rFonts w:hint="eastAsia" w:ascii="仿宋" w:hAnsi="仿宋" w:eastAsia="仿宋" w:cs="仿宋"/>
                <w:sz w:val="24"/>
                <w:szCs w:val="24"/>
                <w:lang w:val="en-US"/>
              </w:rPr>
            </w:pPr>
            <w:r>
              <w:rPr>
                <w:rFonts w:hint="eastAsia" w:ascii="仿宋" w:hAnsi="仿宋" w:eastAsia="仿宋" w:cs="仿宋"/>
                <w:sz w:val="24"/>
                <w:szCs w:val="24"/>
                <w:lang w:val="en-US"/>
              </w:rPr>
              <w:t>含有牛只不可采食异物，含有掺假等。</w:t>
            </w:r>
          </w:p>
          <w:p w14:paraId="5B13E6B2">
            <w:pPr>
              <w:widowControl/>
              <w:spacing w:before="3"/>
              <w:jc w:val="left"/>
              <w:rPr>
                <w:rFonts w:hint="eastAsia" w:ascii="仿宋" w:hAnsi="仿宋" w:eastAsia="仿宋" w:cs="仿宋"/>
                <w:color w:val="000000"/>
                <w:sz w:val="24"/>
                <w:szCs w:val="24"/>
                <w:vertAlign w:val="baseline"/>
                <w:lang w:val="en-US" w:eastAsia="zh-CN"/>
              </w:rPr>
            </w:pPr>
          </w:p>
        </w:tc>
      </w:tr>
      <w:tr w14:paraId="6DAE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29961B75">
            <w:pPr>
              <w:widowControl/>
              <w:spacing w:before="0"/>
              <w:jc w:val="left"/>
              <w:rPr>
                <w:rFonts w:hint="eastAsia" w:ascii="仿宋" w:hAnsi="仿宋" w:eastAsia="仿宋" w:cs="仿宋"/>
                <w:sz w:val="24"/>
                <w:szCs w:val="24"/>
                <w:lang w:val="en-US"/>
              </w:rPr>
            </w:pPr>
            <w:r>
              <w:rPr>
                <w:rFonts w:ascii="浠垮畫" w:hAnsi="浠垮畫" w:eastAsia="浠垮畫" w:cs="浠垮畫"/>
                <w:snapToGrid w:val="0"/>
                <w:color w:val="000000"/>
                <w:kern w:val="0"/>
                <w:sz w:val="21"/>
                <w:szCs w:val="21"/>
                <w:lang w:val="en-US" w:eastAsia="zh-CN" w:bidi="ar"/>
              </w:rPr>
              <w:t>无污染</w:t>
            </w:r>
          </w:p>
        </w:tc>
        <w:tc>
          <w:tcPr>
            <w:tcW w:w="3318" w:type="dxa"/>
            <w:vAlign w:val="center"/>
          </w:tcPr>
          <w:p w14:paraId="5E270E89">
            <w:pPr>
              <w:widowControl/>
              <w:spacing w:before="0"/>
              <w:jc w:val="left"/>
              <w:rPr>
                <w:rFonts w:hint="eastAsia" w:ascii="仿宋" w:hAnsi="仿宋" w:eastAsia="仿宋" w:cs="仿宋"/>
                <w:sz w:val="24"/>
                <w:szCs w:val="24"/>
                <w:lang w:val="en-US"/>
              </w:rPr>
            </w:pPr>
            <w:r>
              <w:rPr>
                <w:rFonts w:ascii="浠垮畫" w:hAnsi="浠垮畫" w:eastAsia="浠垮畫" w:cs="浠垮畫"/>
                <w:snapToGrid w:val="0"/>
                <w:color w:val="000000"/>
                <w:kern w:val="0"/>
                <w:sz w:val="21"/>
                <w:szCs w:val="21"/>
                <w:lang w:val="en-US" w:eastAsia="zh-CN" w:bidi="ar"/>
              </w:rPr>
              <w:t>无虫鼠害等污染。</w:t>
            </w:r>
          </w:p>
        </w:tc>
        <w:tc>
          <w:tcPr>
            <w:tcW w:w="3374" w:type="dxa"/>
            <w:vAlign w:val="center"/>
          </w:tcPr>
          <w:p w14:paraId="55EDC2BE">
            <w:pPr>
              <w:widowControl/>
              <w:spacing w:before="0"/>
              <w:jc w:val="left"/>
              <w:rPr>
                <w:rFonts w:hint="eastAsia" w:ascii="仿宋" w:hAnsi="仿宋" w:eastAsia="仿宋" w:cs="仿宋"/>
                <w:color w:val="000000"/>
                <w:sz w:val="24"/>
                <w:szCs w:val="24"/>
                <w:vertAlign w:val="baseline"/>
                <w:lang w:val="en-US" w:eastAsia="zh-CN"/>
              </w:rPr>
            </w:pPr>
            <w:r>
              <w:rPr>
                <w:rFonts w:ascii="浠垮畫" w:hAnsi="浠垮畫" w:eastAsia="浠垮畫" w:cs="浠垮畫"/>
                <w:snapToGrid w:val="0"/>
                <w:color w:val="000000"/>
                <w:kern w:val="0"/>
                <w:sz w:val="21"/>
                <w:szCs w:val="21"/>
                <w:lang w:val="en-US" w:eastAsia="zh-CN" w:bidi="ar"/>
              </w:rPr>
              <w:t>有明显的虫鼠害。</w:t>
            </w:r>
          </w:p>
        </w:tc>
      </w:tr>
    </w:tbl>
    <w:p w14:paraId="548A6F00">
      <w:pPr>
        <w:spacing w:before="3"/>
        <w:jc w:val="both"/>
        <w:rPr>
          <w:rFonts w:hint="eastAsia" w:ascii="仿宋" w:hAnsi="仿宋" w:eastAsia="仿宋" w:cs="仿宋"/>
          <w:sz w:val="24"/>
          <w:szCs w:val="24"/>
          <w:lang w:val="en-US"/>
        </w:rPr>
      </w:pPr>
    </w:p>
    <w:p w14:paraId="258F1545">
      <w:pPr>
        <w:spacing w:before="3"/>
        <w:jc w:val="both"/>
        <w:rPr>
          <w:rFonts w:hint="eastAsia" w:ascii="仿宋" w:hAnsi="仿宋" w:eastAsia="仿宋" w:cs="仿宋"/>
          <w:sz w:val="24"/>
          <w:szCs w:val="24"/>
          <w:lang w:val="en-US"/>
        </w:rPr>
      </w:pPr>
      <w:r>
        <w:rPr>
          <w:rFonts w:hint="eastAsia" w:ascii="仿宋" w:hAnsi="仿宋" w:eastAsia="仿宋" w:cs="仿宋"/>
          <w:snapToGrid w:val="0"/>
          <w:color w:val="000000"/>
          <w:kern w:val="0"/>
          <w:sz w:val="24"/>
          <w:szCs w:val="24"/>
          <w:lang w:val="en-US" w:eastAsia="zh-CN" w:bidi="ar"/>
        </w:rPr>
        <w:t>（二）理化标准</w:t>
      </w:r>
    </w:p>
    <w:p w14:paraId="73546A68">
      <w:pPr>
        <w:spacing w:before="3"/>
        <w:jc w:val="both"/>
        <w:rPr>
          <w:rFonts w:hint="eastAsia" w:ascii="仿宋" w:hAnsi="仿宋" w:eastAsia="仿宋" w:cs="仿宋"/>
          <w:sz w:val="24"/>
          <w:szCs w:val="24"/>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3318"/>
        <w:gridCol w:w="3374"/>
      </w:tblGrid>
      <w:tr w14:paraId="3BCE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407" w:type="dxa"/>
            <w:vAlign w:val="center"/>
          </w:tcPr>
          <w:p w14:paraId="420AB439">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检验项目</w:t>
            </w:r>
          </w:p>
        </w:tc>
        <w:tc>
          <w:tcPr>
            <w:tcW w:w="3318" w:type="dxa"/>
            <w:vAlign w:val="center"/>
          </w:tcPr>
          <w:p w14:paraId="3DC2B6DA">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3374" w:type="dxa"/>
            <w:vAlign w:val="center"/>
          </w:tcPr>
          <w:p w14:paraId="3C9F9406">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指标</w:t>
            </w:r>
          </w:p>
        </w:tc>
      </w:tr>
      <w:tr w14:paraId="292E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0CC89F7B">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粗蛋白质</w:t>
            </w:r>
          </w:p>
        </w:tc>
        <w:tc>
          <w:tcPr>
            <w:tcW w:w="3318" w:type="dxa"/>
            <w:vAlign w:val="center"/>
          </w:tcPr>
          <w:p w14:paraId="75DE12E3">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w:t>
            </w:r>
          </w:p>
        </w:tc>
        <w:tc>
          <w:tcPr>
            <w:tcW w:w="3374" w:type="dxa"/>
            <w:vAlign w:val="center"/>
          </w:tcPr>
          <w:p w14:paraId="33D06E7A">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≥6.0</w:t>
            </w:r>
          </w:p>
        </w:tc>
      </w:tr>
      <w:tr w14:paraId="780E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740EA602">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粗灰分</w:t>
            </w:r>
          </w:p>
        </w:tc>
        <w:tc>
          <w:tcPr>
            <w:tcW w:w="3318" w:type="dxa"/>
            <w:vAlign w:val="center"/>
          </w:tcPr>
          <w:p w14:paraId="2B0BB670">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3374" w:type="dxa"/>
            <w:vAlign w:val="center"/>
          </w:tcPr>
          <w:p w14:paraId="0EB7DE7B">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w:t>
            </w:r>
          </w:p>
        </w:tc>
      </w:tr>
      <w:tr w14:paraId="6A7F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70D6F785">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粗纤维</w:t>
            </w:r>
          </w:p>
        </w:tc>
        <w:tc>
          <w:tcPr>
            <w:tcW w:w="3318" w:type="dxa"/>
            <w:vAlign w:val="center"/>
          </w:tcPr>
          <w:p w14:paraId="1D0E27EC">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3374" w:type="dxa"/>
            <w:vAlign w:val="center"/>
          </w:tcPr>
          <w:p w14:paraId="64CBE2A3">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≤26.0</w:t>
            </w:r>
          </w:p>
        </w:tc>
      </w:tr>
      <w:tr w14:paraId="14DB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32D3A013">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水分</w:t>
            </w:r>
          </w:p>
        </w:tc>
        <w:tc>
          <w:tcPr>
            <w:tcW w:w="3318" w:type="dxa"/>
            <w:vAlign w:val="center"/>
          </w:tcPr>
          <w:p w14:paraId="0E142B1E">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w:t>
            </w:r>
          </w:p>
        </w:tc>
        <w:tc>
          <w:tcPr>
            <w:tcW w:w="3374" w:type="dxa"/>
            <w:vAlign w:val="center"/>
          </w:tcPr>
          <w:p w14:paraId="35F0ADF6">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≤12.0</w:t>
            </w:r>
          </w:p>
        </w:tc>
      </w:tr>
      <w:tr w14:paraId="3F2D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4A649709">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napToGrid w:val="0"/>
                <w:color w:val="000000"/>
                <w:kern w:val="0"/>
                <w:sz w:val="24"/>
                <w:szCs w:val="24"/>
                <w:lang w:val="en-US" w:eastAsia="zh-CN" w:bidi="ar"/>
              </w:rPr>
              <w:t>ADF%</w:t>
            </w:r>
          </w:p>
        </w:tc>
        <w:tc>
          <w:tcPr>
            <w:tcW w:w="3318" w:type="dxa"/>
            <w:vAlign w:val="center"/>
          </w:tcPr>
          <w:p w14:paraId="482EF2F3">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w:t>
            </w:r>
          </w:p>
          <w:p w14:paraId="2E5815EB">
            <w:pPr>
              <w:widowControl/>
              <w:spacing w:before="3"/>
              <w:jc w:val="both"/>
              <w:rPr>
                <w:rFonts w:hint="eastAsia" w:ascii="仿宋" w:hAnsi="仿宋" w:eastAsia="仿宋" w:cs="仿宋"/>
                <w:color w:val="000000"/>
                <w:sz w:val="24"/>
                <w:szCs w:val="24"/>
                <w:vertAlign w:val="baseline"/>
                <w:lang w:val="en-US" w:eastAsia="zh-CN"/>
              </w:rPr>
            </w:pPr>
          </w:p>
        </w:tc>
        <w:tc>
          <w:tcPr>
            <w:tcW w:w="3374" w:type="dxa"/>
            <w:shd w:val="clear" w:color="auto" w:fill="auto"/>
            <w:vAlign w:val="center"/>
          </w:tcPr>
          <w:p w14:paraId="690641E3">
            <w:pPr>
              <w:widowControl/>
              <w:spacing w:before="3"/>
              <w:jc w:val="both"/>
              <w:rPr>
                <w:rFonts w:hint="eastAsia" w:ascii="仿宋" w:hAnsi="仿宋" w:eastAsia="仿宋" w:cs="仿宋"/>
                <w:snapToGrid w:val="0"/>
                <w:color w:val="000000"/>
                <w:kern w:val="0"/>
                <w:sz w:val="24"/>
                <w:szCs w:val="24"/>
                <w:vertAlign w:val="baseline"/>
                <w:lang w:val="en-US" w:eastAsia="zh-CN"/>
              </w:rPr>
            </w:pPr>
            <w:r>
              <w:rPr>
                <w:rFonts w:hint="eastAsia" w:ascii="仿宋" w:hAnsi="仿宋" w:eastAsia="仿宋" w:cs="仿宋"/>
                <w:color w:val="000000"/>
                <w:sz w:val="24"/>
                <w:szCs w:val="24"/>
                <w:vertAlign w:val="baseline"/>
                <w:lang w:val="en-US" w:eastAsia="zh-CN"/>
              </w:rPr>
              <w:t>35.5</w:t>
            </w:r>
          </w:p>
        </w:tc>
      </w:tr>
      <w:tr w14:paraId="30C8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4CF5A17C">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napToGrid w:val="0"/>
                <w:color w:val="000000"/>
                <w:kern w:val="0"/>
                <w:sz w:val="24"/>
                <w:szCs w:val="24"/>
                <w:lang w:val="en-US" w:eastAsia="zh-CN" w:bidi="ar"/>
              </w:rPr>
              <w:t>NDF%</w:t>
            </w:r>
          </w:p>
        </w:tc>
        <w:tc>
          <w:tcPr>
            <w:tcW w:w="3318" w:type="dxa"/>
            <w:vAlign w:val="center"/>
          </w:tcPr>
          <w:p w14:paraId="4C1B1525">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w:t>
            </w:r>
          </w:p>
          <w:p w14:paraId="273B3305">
            <w:pPr>
              <w:widowControl/>
              <w:spacing w:before="3"/>
              <w:jc w:val="both"/>
              <w:rPr>
                <w:rFonts w:hint="eastAsia" w:ascii="仿宋" w:hAnsi="仿宋" w:eastAsia="仿宋" w:cs="仿宋"/>
                <w:color w:val="000000"/>
                <w:sz w:val="24"/>
                <w:szCs w:val="24"/>
                <w:vertAlign w:val="baseline"/>
                <w:lang w:val="en-US" w:eastAsia="zh-CN"/>
              </w:rPr>
            </w:pPr>
          </w:p>
        </w:tc>
        <w:tc>
          <w:tcPr>
            <w:tcW w:w="3374" w:type="dxa"/>
            <w:shd w:val="clear" w:color="auto" w:fill="auto"/>
            <w:vAlign w:val="center"/>
          </w:tcPr>
          <w:p w14:paraId="32E48C0D">
            <w:pPr>
              <w:widowControl/>
              <w:spacing w:before="3"/>
              <w:jc w:val="both"/>
              <w:rPr>
                <w:rFonts w:hint="eastAsia" w:ascii="仿宋" w:hAnsi="仿宋" w:eastAsia="仿宋" w:cs="仿宋"/>
                <w:snapToGrid w:val="0"/>
                <w:color w:val="000000"/>
                <w:kern w:val="0"/>
                <w:sz w:val="24"/>
                <w:szCs w:val="24"/>
                <w:vertAlign w:val="baseline"/>
                <w:lang w:val="en-US" w:eastAsia="zh-CN"/>
              </w:rPr>
            </w:pPr>
            <w:r>
              <w:rPr>
                <w:rFonts w:hint="eastAsia" w:ascii="仿宋" w:hAnsi="仿宋" w:eastAsia="仿宋" w:cs="仿宋"/>
                <w:color w:val="000000"/>
                <w:sz w:val="24"/>
                <w:szCs w:val="24"/>
                <w:vertAlign w:val="baseline"/>
                <w:lang w:val="en-US" w:eastAsia="zh-CN"/>
              </w:rPr>
              <w:t>46.0</w:t>
            </w:r>
          </w:p>
        </w:tc>
      </w:tr>
    </w:tbl>
    <w:p w14:paraId="764C0C67">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（三）卫生标准</w:t>
      </w:r>
    </w:p>
    <w:p w14:paraId="4486EFBA">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符合饲料GB13078-2017的质量标准。</w:t>
      </w:r>
    </w:p>
    <w:p w14:paraId="59644E6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hint="eastAsia" w:ascii="仿宋" w:hAnsi="仿宋" w:eastAsia="仿宋" w:cs="仿宋"/>
          <w:spacing w:val="-11"/>
          <w:sz w:val="44"/>
          <w:szCs w:val="44"/>
          <w:u w:val="single" w:color="auto"/>
          <w:lang w:eastAsia="zh-CN"/>
        </w:rPr>
        <w:t>采购</w:t>
      </w:r>
      <w:r>
        <w:rPr>
          <w:rFonts w:ascii="仿宋" w:hAnsi="仿宋" w:eastAsia="仿宋" w:cs="仿宋"/>
          <w:spacing w:val="-11"/>
          <w:sz w:val="44"/>
          <w:szCs w:val="44"/>
          <w:u w:val="single" w:color="auto"/>
        </w:rPr>
        <w:t>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w:t>
      </w:r>
      <w:r>
        <w:rPr>
          <w:rFonts w:hint="eastAsia" w:ascii="仿宋" w:hAnsi="仿宋" w:eastAsia="仿宋" w:cs="仿宋"/>
          <w:spacing w:val="-9"/>
          <w:sz w:val="24"/>
          <w:szCs w:val="24"/>
          <w:lang w:eastAsia="zh-CN"/>
        </w:rPr>
        <w:t>采购</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w:t>
      </w:r>
      <w:r>
        <w:rPr>
          <w:rFonts w:hint="eastAsia" w:ascii="仿宋" w:hAnsi="仿宋" w:eastAsia="仿宋" w:cs="仿宋"/>
          <w:spacing w:val="-6"/>
          <w:sz w:val="24"/>
          <w:szCs w:val="24"/>
          <w:lang w:eastAsia="zh-CN"/>
        </w:rPr>
        <w:t>采购</w:t>
      </w:r>
      <w:r>
        <w:rPr>
          <w:rFonts w:ascii="仿宋" w:hAnsi="仿宋" w:eastAsia="仿宋" w:cs="仿宋"/>
          <w:spacing w:val="-6"/>
          <w:sz w:val="24"/>
          <w:szCs w:val="24"/>
        </w:rPr>
        <w:t>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1"/>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hint="eastAsia" w:ascii="仿宋" w:hAnsi="仿宋" w:eastAsia="仿宋" w:cs="仿宋"/>
                <w:spacing w:val="-4"/>
                <w:sz w:val="24"/>
                <w:szCs w:val="24"/>
                <w:lang w:eastAsia="zh-CN"/>
              </w:rPr>
              <w:t>采购</w:t>
            </w:r>
            <w:r>
              <w:rPr>
                <w:rFonts w:ascii="仿宋" w:hAnsi="仿宋" w:eastAsia="仿宋" w:cs="仿宋"/>
                <w:spacing w:val="-3"/>
                <w:sz w:val="24"/>
                <w:szCs w:val="24"/>
              </w:rPr>
              <w:t>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1"/>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1"/>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5F10A2B"/>
    <w:rsid w:val="073F4952"/>
    <w:rsid w:val="078925D1"/>
    <w:rsid w:val="0ADC2694"/>
    <w:rsid w:val="0D085104"/>
    <w:rsid w:val="115C1D0D"/>
    <w:rsid w:val="131A3B1D"/>
    <w:rsid w:val="1958496D"/>
    <w:rsid w:val="1D621EBC"/>
    <w:rsid w:val="1DAE66B6"/>
    <w:rsid w:val="20C560FB"/>
    <w:rsid w:val="21F86150"/>
    <w:rsid w:val="22887589"/>
    <w:rsid w:val="22C33582"/>
    <w:rsid w:val="23A65B21"/>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47CB7360"/>
    <w:rsid w:val="49ED7575"/>
    <w:rsid w:val="4B4B237E"/>
    <w:rsid w:val="4C83266E"/>
    <w:rsid w:val="53252A3D"/>
    <w:rsid w:val="538C47E6"/>
    <w:rsid w:val="55624B4D"/>
    <w:rsid w:val="55FE2687"/>
    <w:rsid w:val="57FA519D"/>
    <w:rsid w:val="59270DD1"/>
    <w:rsid w:val="5DFD2450"/>
    <w:rsid w:val="5E736FCC"/>
    <w:rsid w:val="5EDF1B01"/>
    <w:rsid w:val="5F0E271E"/>
    <w:rsid w:val="631725C7"/>
    <w:rsid w:val="648E3ABE"/>
    <w:rsid w:val="691D392F"/>
    <w:rsid w:val="6DF364D5"/>
    <w:rsid w:val="6E22110A"/>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Paragraph"/>
    <w:basedOn w:val="1"/>
    <w:autoRedefine/>
    <w:qFormat/>
    <w:uiPriority w:val="1"/>
    <w:rPr>
      <w:rFonts w:ascii="宋体" w:hAnsi="宋体" w:eastAsia="宋体" w:cs="宋体"/>
      <w:lang w:val="zh-CN" w:eastAsia="zh-CN" w:bidi="zh-CN"/>
    </w:rPr>
  </w:style>
  <w:style w:type="paragraph" w:customStyle="1" w:styleId="13">
    <w:name w:val="55550"/>
    <w:basedOn w:val="1"/>
    <w:autoRedefine/>
    <w:qFormat/>
    <w:uiPriority w:val="0"/>
    <w:pPr>
      <w:jc w:val="center"/>
    </w:pPr>
    <w:rPr>
      <w:rFonts w:cs="Times New Roman"/>
      <w:szCs w:val="22"/>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810</Words>
  <Characters>935</Characters>
  <TotalTime>0</TotalTime>
  <ScaleCrop>false</ScaleCrop>
  <LinksUpToDate>false</LinksUpToDate>
  <CharactersWithSpaces>998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2025-12-23T07:20:51Z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