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A6929">
      <w:pPr>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甘肃传祁甘味乳业有限责任公司202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lang w:val="en-US" w:eastAsia="zh-CN"/>
        </w:rPr>
        <w:t>-202</w:t>
      </w:r>
      <w:r>
        <w:rPr>
          <w:rFonts w:hint="eastAsia" w:ascii="宋体" w:hAnsi="宋体" w:cs="宋体"/>
          <w:b/>
          <w:bCs/>
          <w:color w:val="auto"/>
          <w:sz w:val="32"/>
          <w:szCs w:val="32"/>
          <w:lang w:val="en-US" w:eastAsia="zh-CN"/>
        </w:rPr>
        <w:t>6</w:t>
      </w:r>
      <w:r>
        <w:rPr>
          <w:rFonts w:hint="eastAsia" w:ascii="宋体" w:hAnsi="宋体" w:eastAsia="宋体" w:cs="宋体"/>
          <w:b/>
          <w:bCs/>
          <w:color w:val="auto"/>
          <w:sz w:val="32"/>
          <w:szCs w:val="32"/>
          <w:lang w:val="en-US" w:eastAsia="zh-CN"/>
        </w:rPr>
        <w:t>年度</w:t>
      </w:r>
      <w:r>
        <w:rPr>
          <w:rFonts w:hint="eastAsia" w:ascii="宋体" w:hAnsi="宋体" w:cs="宋体"/>
          <w:b/>
          <w:bCs/>
          <w:color w:val="auto"/>
          <w:sz w:val="32"/>
          <w:szCs w:val="32"/>
          <w:lang w:val="en-US" w:eastAsia="zh-CN"/>
        </w:rPr>
        <w:t>清洗剂</w:t>
      </w:r>
      <w:r>
        <w:rPr>
          <w:rFonts w:hint="eastAsia" w:ascii="宋体" w:hAnsi="宋体" w:eastAsia="宋体" w:cs="宋体"/>
          <w:b/>
          <w:bCs/>
          <w:color w:val="auto"/>
          <w:sz w:val="32"/>
          <w:szCs w:val="32"/>
          <w:lang w:val="en-US" w:eastAsia="zh-CN"/>
        </w:rPr>
        <w:t>采购项目</w:t>
      </w:r>
    </w:p>
    <w:p w14:paraId="7C9164D7">
      <w:pPr>
        <w:jc w:val="center"/>
        <w:rPr>
          <w:rFonts w:hint="eastAsia" w:ascii="宋体" w:hAnsi="宋体" w:eastAsia="宋体" w:cs="宋体"/>
          <w:color w:val="auto"/>
          <w:sz w:val="32"/>
          <w:szCs w:val="32"/>
        </w:rPr>
      </w:pPr>
      <w:r>
        <w:rPr>
          <w:rFonts w:hint="eastAsia" w:ascii="宋体" w:hAnsi="宋体" w:eastAsia="宋体" w:cs="宋体"/>
          <w:b/>
          <w:bCs/>
          <w:color w:val="auto"/>
          <w:sz w:val="32"/>
          <w:szCs w:val="32"/>
          <w:lang w:val="en-US" w:eastAsia="zh-CN"/>
        </w:rPr>
        <w:t>公开</w:t>
      </w:r>
      <w:r>
        <w:rPr>
          <w:rFonts w:hint="eastAsia" w:ascii="宋体" w:hAnsi="宋体" w:eastAsia="宋体" w:cs="宋体"/>
          <w:b/>
          <w:bCs/>
          <w:color w:val="auto"/>
          <w:sz w:val="32"/>
          <w:szCs w:val="32"/>
        </w:rPr>
        <w:t>招标文件</w:t>
      </w:r>
    </w:p>
    <w:p w14:paraId="6EA5F544">
      <w:pPr>
        <w:spacing w:line="480" w:lineRule="auto"/>
        <w:rPr>
          <w:rFonts w:hint="eastAsia" w:ascii="仿宋" w:hAnsi="仿宋" w:eastAsia="仿宋"/>
          <w:color w:val="auto"/>
          <w:sz w:val="32"/>
          <w:szCs w:val="32"/>
        </w:rPr>
      </w:pPr>
    </w:p>
    <w:p w14:paraId="1EC3A992">
      <w:pPr>
        <w:numPr>
          <w:ilvl w:val="0"/>
          <w:numId w:val="1"/>
        </w:numPr>
        <w:tabs>
          <w:tab w:val="left" w:pos="1080"/>
          <w:tab w:val="clear" w:pos="480"/>
        </w:tabs>
        <w:spacing w:line="360" w:lineRule="auto"/>
        <w:ind w:firstLine="60"/>
        <w:rPr>
          <w:rFonts w:hint="eastAsia" w:ascii="仿宋" w:hAnsi="仿宋" w:eastAsia="仿宋"/>
          <w:b/>
          <w:color w:val="auto"/>
          <w:sz w:val="24"/>
        </w:rPr>
      </w:pPr>
      <w:r>
        <w:rPr>
          <w:rFonts w:hint="eastAsia" w:ascii="仿宋" w:hAnsi="仿宋" w:eastAsia="仿宋"/>
          <w:b/>
          <w:color w:val="auto"/>
          <w:sz w:val="24"/>
        </w:rPr>
        <w:t>招标</w:t>
      </w:r>
      <w:r>
        <w:rPr>
          <w:rFonts w:hint="eastAsia" w:ascii="仿宋" w:hAnsi="仿宋" w:eastAsia="仿宋"/>
          <w:b/>
          <w:color w:val="auto"/>
          <w:sz w:val="24"/>
          <w:lang w:val="en-US" w:eastAsia="zh-CN"/>
        </w:rPr>
        <w:t>须知</w:t>
      </w:r>
      <w:r>
        <w:rPr>
          <w:rFonts w:hint="eastAsia" w:ascii="仿宋" w:hAnsi="仿宋" w:eastAsia="仿宋"/>
          <w:b/>
          <w:color w:val="auto"/>
          <w:sz w:val="24"/>
        </w:rPr>
        <w:t>：</w:t>
      </w:r>
    </w:p>
    <w:p w14:paraId="2881D01D">
      <w:pPr>
        <w:spacing w:line="360" w:lineRule="auto"/>
        <w:ind w:firstLine="540" w:firstLineChars="225"/>
        <w:rPr>
          <w:rFonts w:hint="eastAsia" w:ascii="仿宋" w:hAnsi="仿宋" w:eastAsia="仿宋"/>
          <w:color w:val="auto"/>
          <w:sz w:val="24"/>
        </w:rPr>
      </w:pPr>
      <w:bookmarkStart w:id="0" w:name="OLE_LINK2"/>
      <w:r>
        <w:rPr>
          <w:rFonts w:hint="eastAsia" w:ascii="仿宋" w:hAnsi="仿宋" w:eastAsia="仿宋"/>
          <w:color w:val="auto"/>
          <w:sz w:val="24"/>
          <w:lang w:val="en-US" w:eastAsia="zh-CN"/>
        </w:rPr>
        <w:t>甘肃传祁甘味乳业有限责任公司</w:t>
      </w:r>
      <w:bookmarkEnd w:id="0"/>
      <w:r>
        <w:rPr>
          <w:rFonts w:hint="eastAsia" w:ascii="仿宋" w:hAnsi="仿宋" w:eastAsia="仿宋"/>
          <w:color w:val="auto"/>
          <w:sz w:val="24"/>
        </w:rPr>
        <w:t>计划在</w:t>
      </w:r>
      <w:r>
        <w:rPr>
          <w:rFonts w:hint="eastAsia" w:ascii="仿宋" w:hAnsi="仿宋" w:eastAsia="仿宋"/>
          <w:color w:val="auto"/>
          <w:sz w:val="24"/>
          <w:lang w:val="en-US" w:eastAsia="zh-CN"/>
        </w:rPr>
        <w:t>2025年8</w:t>
      </w:r>
      <w:r>
        <w:rPr>
          <w:rFonts w:hint="eastAsia" w:ascii="仿宋" w:hAnsi="仿宋" w:eastAsia="仿宋"/>
          <w:color w:val="auto"/>
          <w:sz w:val="24"/>
        </w:rPr>
        <w:t>月</w:t>
      </w:r>
      <w:r>
        <w:rPr>
          <w:rFonts w:hint="eastAsia" w:ascii="仿宋" w:hAnsi="仿宋" w:eastAsia="仿宋"/>
          <w:color w:val="auto"/>
          <w:sz w:val="24"/>
          <w:lang w:val="en-US" w:eastAsia="zh-CN"/>
        </w:rPr>
        <w:t>20日</w:t>
      </w:r>
      <w:r>
        <w:rPr>
          <w:rFonts w:hint="eastAsia" w:ascii="仿宋" w:hAnsi="仿宋" w:eastAsia="仿宋"/>
          <w:color w:val="auto"/>
          <w:sz w:val="24"/>
        </w:rPr>
        <w:t>对20</w:t>
      </w:r>
      <w:r>
        <w:rPr>
          <w:rFonts w:hint="eastAsia" w:ascii="仿宋" w:hAnsi="仿宋" w:eastAsia="仿宋"/>
          <w:color w:val="auto"/>
          <w:sz w:val="24"/>
          <w:lang w:val="en-US" w:eastAsia="zh-CN"/>
        </w:rPr>
        <w:t>25-2026</w:t>
      </w:r>
      <w:r>
        <w:rPr>
          <w:rFonts w:hint="eastAsia" w:ascii="仿宋" w:hAnsi="仿宋" w:eastAsia="仿宋"/>
          <w:color w:val="auto"/>
          <w:sz w:val="24"/>
        </w:rPr>
        <w:t>年度</w:t>
      </w:r>
      <w:r>
        <w:rPr>
          <w:rFonts w:hint="eastAsia" w:ascii="仿宋" w:hAnsi="仿宋" w:eastAsia="仿宋"/>
          <w:color w:val="auto"/>
          <w:sz w:val="24"/>
          <w:lang w:val="en-US" w:eastAsia="zh-CN"/>
        </w:rPr>
        <w:t>清洗剂招标</w:t>
      </w:r>
      <w:r>
        <w:rPr>
          <w:rFonts w:hint="eastAsia" w:ascii="仿宋" w:hAnsi="仿宋" w:eastAsia="仿宋"/>
          <w:color w:val="auto"/>
          <w:sz w:val="24"/>
        </w:rPr>
        <w:t>采购，由</w:t>
      </w:r>
      <w:r>
        <w:rPr>
          <w:rFonts w:hint="eastAsia" w:ascii="仿宋" w:hAnsi="仿宋" w:eastAsia="仿宋"/>
          <w:color w:val="auto"/>
          <w:sz w:val="24"/>
          <w:lang w:val="en-US" w:eastAsia="zh-CN"/>
        </w:rPr>
        <w:t>甘肃传祁甘味乳业有限责任公司</w:t>
      </w:r>
      <w:r>
        <w:rPr>
          <w:rFonts w:hint="eastAsia" w:ascii="仿宋" w:hAnsi="仿宋" w:eastAsia="仿宋"/>
          <w:color w:val="auto"/>
          <w:sz w:val="24"/>
        </w:rPr>
        <w:t>统一组织公开招标，确定中标人，与中标人签署</w:t>
      </w:r>
      <w:r>
        <w:rPr>
          <w:rFonts w:hint="eastAsia" w:ascii="仿宋" w:hAnsi="仿宋" w:eastAsia="仿宋"/>
          <w:color w:val="auto"/>
          <w:sz w:val="24"/>
          <w:lang w:val="en-US" w:eastAsia="zh-CN"/>
        </w:rPr>
        <w:t>清洗剂</w:t>
      </w:r>
      <w:r>
        <w:rPr>
          <w:rFonts w:hint="eastAsia" w:ascii="仿宋" w:hAnsi="仿宋" w:eastAsia="仿宋"/>
          <w:color w:val="auto"/>
          <w:sz w:val="24"/>
        </w:rPr>
        <w:t>采购</w:t>
      </w:r>
      <w:r>
        <w:rPr>
          <w:rFonts w:hint="eastAsia" w:ascii="仿宋" w:hAnsi="仿宋" w:eastAsia="仿宋"/>
          <w:color w:val="auto"/>
          <w:sz w:val="24"/>
          <w:lang w:eastAsia="zh-CN"/>
        </w:rPr>
        <w:t>年</w:t>
      </w:r>
      <w:r>
        <w:rPr>
          <w:rFonts w:hint="eastAsia" w:ascii="仿宋" w:hAnsi="仿宋" w:eastAsia="仿宋"/>
          <w:color w:val="auto"/>
          <w:sz w:val="24"/>
        </w:rPr>
        <w:t>合同。</w:t>
      </w:r>
    </w:p>
    <w:p w14:paraId="0CBB64D1">
      <w:pPr>
        <w:spacing w:line="360" w:lineRule="auto"/>
        <w:ind w:firstLine="540" w:firstLineChars="225"/>
        <w:rPr>
          <w:rFonts w:hint="default" w:ascii="仿宋" w:hAnsi="仿宋" w:eastAsia="仿宋"/>
          <w:color w:val="auto"/>
          <w:sz w:val="24"/>
          <w:lang w:val="en-US"/>
        </w:rPr>
      </w:pPr>
      <w:r>
        <w:rPr>
          <w:rFonts w:hint="eastAsia" w:ascii="仿宋" w:hAnsi="仿宋" w:eastAsia="仿宋"/>
          <w:color w:val="auto"/>
          <w:sz w:val="24"/>
        </w:rPr>
        <w:t>1、招标项目名称：</w:t>
      </w:r>
      <w:r>
        <w:rPr>
          <w:rFonts w:hint="eastAsia" w:ascii="仿宋" w:hAnsi="仿宋" w:eastAsia="仿宋"/>
          <w:color w:val="auto"/>
          <w:sz w:val="24"/>
          <w:lang w:val="en-US" w:eastAsia="zh-CN"/>
        </w:rPr>
        <w:t>甘肃传祁甘味乳业有限责任公司</w:t>
      </w:r>
      <w:r>
        <w:rPr>
          <w:rFonts w:hint="eastAsia" w:ascii="仿宋" w:hAnsi="仿宋" w:eastAsia="仿宋"/>
          <w:color w:val="auto"/>
          <w:sz w:val="24"/>
          <w:u w:val="single"/>
        </w:rPr>
        <w:t>20</w:t>
      </w:r>
      <w:r>
        <w:rPr>
          <w:rFonts w:hint="eastAsia" w:ascii="仿宋" w:hAnsi="仿宋" w:eastAsia="仿宋"/>
          <w:color w:val="auto"/>
          <w:sz w:val="24"/>
          <w:u w:val="single"/>
          <w:lang w:val="en-US" w:eastAsia="zh-CN"/>
        </w:rPr>
        <w:t>25-2026</w:t>
      </w:r>
      <w:r>
        <w:rPr>
          <w:rFonts w:hint="eastAsia" w:ascii="仿宋" w:hAnsi="仿宋" w:eastAsia="仿宋"/>
          <w:color w:val="auto"/>
          <w:sz w:val="24"/>
          <w:u w:val="single"/>
        </w:rPr>
        <w:t>年度</w:t>
      </w:r>
      <w:r>
        <w:rPr>
          <w:rFonts w:hint="eastAsia" w:ascii="仿宋" w:hAnsi="仿宋" w:eastAsia="仿宋"/>
          <w:color w:val="auto"/>
          <w:sz w:val="24"/>
          <w:u w:val="single"/>
          <w:lang w:val="en-US" w:eastAsia="zh-CN"/>
        </w:rPr>
        <w:t>清洗剂采购项目。</w:t>
      </w:r>
    </w:p>
    <w:p w14:paraId="2C5C53A8">
      <w:pPr>
        <w:spacing w:line="360" w:lineRule="auto"/>
        <w:ind w:firstLine="540" w:firstLineChars="225"/>
        <w:rPr>
          <w:rFonts w:hint="eastAsia" w:ascii="仿宋" w:hAnsi="仿宋" w:eastAsia="仿宋"/>
          <w:color w:val="auto"/>
          <w:sz w:val="24"/>
          <w:highlight w:val="yellow"/>
          <w:lang w:val="en-US" w:eastAsia="zh-CN"/>
        </w:rPr>
      </w:pPr>
      <w:r>
        <w:rPr>
          <w:rFonts w:hint="eastAsia" w:ascii="仿宋" w:hAnsi="仿宋" w:eastAsia="仿宋"/>
          <w:color w:val="auto"/>
          <w:sz w:val="24"/>
        </w:rPr>
        <w:t>2、招标编号：</w:t>
      </w:r>
      <w:r>
        <w:rPr>
          <w:rFonts w:hint="eastAsia" w:ascii="仿宋" w:hAnsi="仿宋" w:eastAsia="仿宋"/>
          <w:color w:val="auto"/>
          <w:sz w:val="24"/>
          <w:u w:val="single"/>
          <w:lang w:val="en-US" w:eastAsia="zh-CN"/>
        </w:rPr>
        <w:t>CQRY-CQGW</w:t>
      </w:r>
      <w:r>
        <w:rPr>
          <w:rFonts w:ascii="仿宋" w:hAnsi="仿宋" w:eastAsia="仿宋"/>
          <w:color w:val="auto"/>
          <w:sz w:val="24"/>
          <w:u w:val="single"/>
        </w:rPr>
        <w:t>20</w:t>
      </w:r>
      <w:r>
        <w:rPr>
          <w:rFonts w:hint="eastAsia" w:ascii="仿宋" w:hAnsi="仿宋" w:eastAsia="仿宋"/>
          <w:color w:val="auto"/>
          <w:sz w:val="24"/>
          <w:u w:val="single"/>
          <w:lang w:val="en-US" w:eastAsia="zh-CN"/>
        </w:rPr>
        <w:t>25</w:t>
      </w:r>
      <w:r>
        <w:rPr>
          <w:rFonts w:hint="eastAsia" w:ascii="仿宋" w:hAnsi="仿宋" w:eastAsia="仿宋"/>
          <w:color w:val="auto"/>
          <w:sz w:val="24"/>
          <w:u w:val="single"/>
        </w:rPr>
        <w:t>-</w:t>
      </w:r>
      <w:r>
        <w:rPr>
          <w:rFonts w:hint="eastAsia" w:ascii="仿宋" w:hAnsi="仿宋" w:eastAsia="仿宋"/>
          <w:color w:val="auto"/>
          <w:sz w:val="24"/>
          <w:u w:val="single"/>
          <w:lang w:val="en-US" w:eastAsia="zh-CN"/>
        </w:rPr>
        <w:t>08</w:t>
      </w:r>
      <w:r>
        <w:rPr>
          <w:rFonts w:ascii="仿宋" w:hAnsi="仿宋" w:eastAsia="仿宋"/>
          <w:color w:val="auto"/>
          <w:sz w:val="24"/>
          <w:u w:val="single"/>
        </w:rPr>
        <w:t>-</w:t>
      </w:r>
      <w:r>
        <w:rPr>
          <w:rFonts w:hint="eastAsia" w:ascii="仿宋" w:hAnsi="仿宋" w:eastAsia="仿宋"/>
          <w:color w:val="auto"/>
          <w:sz w:val="24"/>
          <w:u w:val="single"/>
          <w:lang w:val="en-US" w:eastAsia="zh-CN"/>
        </w:rPr>
        <w:t>1</w:t>
      </w:r>
    </w:p>
    <w:p w14:paraId="15BB99DE">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3、招 标 人：</w:t>
      </w:r>
      <w:r>
        <w:rPr>
          <w:rFonts w:hint="eastAsia" w:ascii="仿宋" w:hAnsi="仿宋" w:eastAsia="仿宋"/>
          <w:color w:val="auto"/>
          <w:sz w:val="24"/>
          <w:lang w:val="en-US" w:eastAsia="zh-CN"/>
        </w:rPr>
        <w:t>甘肃传祁甘味乳业有限责任公司</w:t>
      </w:r>
      <w:r>
        <w:rPr>
          <w:rFonts w:hint="eastAsia" w:ascii="仿宋" w:hAnsi="仿宋" w:eastAsia="仿宋"/>
          <w:color w:val="auto"/>
          <w:sz w:val="24"/>
        </w:rPr>
        <w:t>；</w:t>
      </w:r>
    </w:p>
    <w:p w14:paraId="6D1CFA50">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4、投 标 人：经审核符合本次招标所规定的生产商；</w:t>
      </w:r>
    </w:p>
    <w:p w14:paraId="79600B8B">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5、中 标 人：</w:t>
      </w:r>
      <w:r>
        <w:rPr>
          <w:rFonts w:hint="eastAsia" w:ascii="仿宋" w:hAnsi="仿宋" w:eastAsia="仿宋"/>
          <w:color w:val="auto"/>
          <w:sz w:val="24"/>
          <w:lang w:val="en-US" w:eastAsia="zh-CN"/>
        </w:rPr>
        <w:t>清洗剂</w:t>
      </w:r>
      <w:r>
        <w:rPr>
          <w:rFonts w:hint="eastAsia" w:ascii="仿宋" w:hAnsi="仿宋" w:eastAsia="仿宋"/>
          <w:color w:val="auto"/>
          <w:sz w:val="24"/>
        </w:rPr>
        <w:t>供应方，经审核最终被授予合同的投标人；</w:t>
      </w:r>
    </w:p>
    <w:p w14:paraId="48F810F6">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6、</w:t>
      </w:r>
      <w:r>
        <w:rPr>
          <w:rFonts w:hint="eastAsia" w:ascii="仿宋" w:hAnsi="仿宋" w:eastAsia="仿宋"/>
          <w:color w:val="auto"/>
          <w:sz w:val="24"/>
          <w:lang w:val="en-US" w:eastAsia="zh-CN"/>
        </w:rPr>
        <w:t>需方及送货地址</w:t>
      </w:r>
      <w:r>
        <w:rPr>
          <w:rFonts w:hint="eastAsia" w:ascii="仿宋" w:hAnsi="仿宋" w:eastAsia="仿宋"/>
          <w:color w:val="auto"/>
          <w:sz w:val="24"/>
        </w:rPr>
        <w:t>：</w:t>
      </w:r>
    </w:p>
    <w:p w14:paraId="1F489EEF">
      <w:pPr>
        <w:spacing w:line="360" w:lineRule="auto"/>
        <w:ind w:firstLine="960" w:firstLineChars="400"/>
        <w:rPr>
          <w:rFonts w:hint="eastAsia" w:ascii="仿宋" w:hAnsi="仿宋" w:eastAsia="仿宋"/>
          <w:color w:val="auto"/>
          <w:sz w:val="24"/>
          <w:lang w:eastAsia="zh-CN"/>
        </w:rPr>
      </w:pPr>
      <w:r>
        <w:rPr>
          <w:rFonts w:hint="eastAsia" w:ascii="仿宋" w:hAnsi="仿宋" w:eastAsia="仿宋"/>
          <w:color w:val="auto"/>
          <w:sz w:val="24"/>
          <w:lang w:eastAsia="zh-CN"/>
        </w:rPr>
        <w:t>甘肃传祁乳业有限公司（甘肃省张掖市甘州区滨河新区滨河大道延伸段47号）</w:t>
      </w:r>
    </w:p>
    <w:p w14:paraId="34D656C0">
      <w:pPr>
        <w:spacing w:line="360" w:lineRule="auto"/>
        <w:ind w:firstLine="960" w:firstLineChars="400"/>
        <w:rPr>
          <w:rFonts w:hint="eastAsia" w:ascii="仿宋" w:hAnsi="仿宋" w:eastAsia="仿宋"/>
          <w:color w:val="auto"/>
          <w:sz w:val="24"/>
          <w:lang w:val="en-US" w:eastAsia="zh-CN"/>
        </w:rPr>
      </w:pPr>
      <w:r>
        <w:rPr>
          <w:rFonts w:hint="eastAsia" w:ascii="仿宋" w:hAnsi="仿宋" w:eastAsia="仿宋"/>
          <w:color w:val="auto"/>
          <w:sz w:val="24"/>
          <w:lang w:val="en-US" w:eastAsia="zh-CN"/>
        </w:rPr>
        <w:t>甘肃传祁甘味乳业有限责任公司（</w:t>
      </w:r>
      <w:r>
        <w:rPr>
          <w:rFonts w:hint="eastAsia" w:ascii="仿宋" w:hAnsi="仿宋" w:eastAsia="仿宋"/>
          <w:color w:val="auto"/>
          <w:sz w:val="24"/>
          <w:lang w:eastAsia="zh-CN"/>
        </w:rPr>
        <w:t>甘肃省兰州市兰州新区石羊河街1188号</w:t>
      </w:r>
      <w:r>
        <w:rPr>
          <w:rFonts w:hint="eastAsia" w:ascii="仿宋" w:hAnsi="仿宋" w:eastAsia="仿宋"/>
          <w:color w:val="auto"/>
          <w:sz w:val="24"/>
          <w:lang w:val="en-US" w:eastAsia="zh-CN"/>
        </w:rPr>
        <w:t>）</w:t>
      </w:r>
    </w:p>
    <w:p w14:paraId="4A8D2C19">
      <w:pPr>
        <w:numPr>
          <w:ilvl w:val="0"/>
          <w:numId w:val="2"/>
        </w:numPr>
        <w:spacing w:line="360" w:lineRule="auto"/>
        <w:ind w:firstLine="540" w:firstLineChars="225"/>
        <w:rPr>
          <w:rFonts w:hint="default" w:ascii="仿宋" w:hAnsi="仿宋" w:eastAsia="仿宋"/>
          <w:color w:val="auto"/>
          <w:sz w:val="24"/>
          <w:lang w:val="en-US" w:eastAsia="zh-CN"/>
        </w:rPr>
      </w:pPr>
      <w:r>
        <w:rPr>
          <w:rFonts w:hint="eastAsia" w:ascii="仿宋" w:hAnsi="仿宋" w:eastAsia="仿宋"/>
          <w:color w:val="auto"/>
          <w:sz w:val="24"/>
          <w:lang w:val="en-US" w:eastAsia="zh-CN"/>
        </w:rPr>
        <w:t>拦 标 价：碱性清洗剂4元/千克</w:t>
      </w:r>
    </w:p>
    <w:p w14:paraId="28B2C523">
      <w:pPr>
        <w:numPr>
          <w:ilvl w:val="0"/>
          <w:numId w:val="0"/>
        </w:numPr>
        <w:spacing w:line="360" w:lineRule="auto"/>
        <w:rPr>
          <w:rFonts w:hint="eastAsia" w:ascii="仿宋" w:hAnsi="仿宋" w:eastAsia="仿宋"/>
          <w:color w:val="auto"/>
          <w:sz w:val="24"/>
          <w:lang w:val="en-US" w:eastAsia="zh-CN"/>
        </w:rPr>
      </w:pPr>
      <w:r>
        <w:rPr>
          <w:rFonts w:hint="eastAsia" w:ascii="仿宋" w:hAnsi="仿宋" w:eastAsia="仿宋"/>
          <w:color w:val="auto"/>
          <w:sz w:val="24"/>
          <w:lang w:val="en-US" w:eastAsia="zh-CN"/>
        </w:rPr>
        <w:t xml:space="preserve">                  酸性清洗剂4.15元/千克</w:t>
      </w:r>
    </w:p>
    <w:p w14:paraId="4E4A8500">
      <w:pPr>
        <w:numPr>
          <w:ilvl w:val="0"/>
          <w:numId w:val="0"/>
        </w:numPr>
        <w:spacing w:line="360" w:lineRule="auto"/>
        <w:rPr>
          <w:rFonts w:hint="default" w:ascii="仿宋" w:hAnsi="仿宋" w:eastAsia="仿宋"/>
          <w:color w:val="auto"/>
          <w:sz w:val="24"/>
          <w:lang w:val="en-US" w:eastAsia="zh-CN"/>
        </w:rPr>
      </w:pPr>
      <w:r>
        <w:rPr>
          <w:rFonts w:hint="eastAsia" w:ascii="仿宋" w:hAnsi="仿宋" w:eastAsia="仿宋"/>
          <w:color w:val="auto"/>
          <w:sz w:val="24"/>
          <w:lang w:val="en-US" w:eastAsia="zh-CN"/>
        </w:rPr>
        <w:t xml:space="preserve">                  过氧乙酸10.5元/千克</w:t>
      </w:r>
    </w:p>
    <w:p w14:paraId="509E1F1A">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诚邀有意投标者于受理时间内报名参加。</w:t>
      </w:r>
    </w:p>
    <w:p w14:paraId="4E6DD12B">
      <w:pPr>
        <w:numPr>
          <w:ilvl w:val="0"/>
          <w:numId w:val="1"/>
        </w:numPr>
        <w:tabs>
          <w:tab w:val="left" w:pos="1080"/>
          <w:tab w:val="left" w:pos="1440"/>
          <w:tab w:val="clear" w:pos="480"/>
        </w:tabs>
        <w:spacing w:before="156" w:beforeLines="50" w:line="360" w:lineRule="auto"/>
        <w:ind w:left="482" w:firstLine="62"/>
        <w:rPr>
          <w:rFonts w:hint="eastAsia" w:ascii="仿宋" w:hAnsi="仿宋" w:eastAsia="仿宋"/>
          <w:b/>
          <w:color w:val="auto"/>
          <w:sz w:val="24"/>
        </w:rPr>
      </w:pPr>
      <w:r>
        <w:rPr>
          <w:rFonts w:hint="eastAsia" w:ascii="仿宋" w:hAnsi="仿宋" w:eastAsia="仿宋" w:cs="仿宋"/>
          <w:b/>
          <w:bCs/>
          <w:sz w:val="24"/>
          <w:szCs w:val="24"/>
          <w:lang w:val="en-US" w:eastAsia="zh-CN"/>
        </w:rPr>
        <w:t>采购清单及参数要求</w:t>
      </w:r>
      <w:r>
        <w:rPr>
          <w:rFonts w:hint="eastAsia" w:ascii="仿宋" w:hAnsi="仿宋" w:eastAsia="仿宋"/>
          <w:b/>
          <w:color w:val="auto"/>
          <w:sz w:val="24"/>
        </w:rPr>
        <w:t>：</w:t>
      </w:r>
      <w:r>
        <w:rPr>
          <w:rFonts w:hint="eastAsia" w:ascii="仿宋" w:hAnsi="仿宋" w:eastAsia="仿宋"/>
          <w:b/>
          <w:color w:val="auto"/>
          <w:sz w:val="24"/>
          <w:lang w:eastAsia="zh-CN"/>
        </w:rPr>
        <w:t>（</w:t>
      </w:r>
      <w:r>
        <w:rPr>
          <w:rFonts w:hint="eastAsia" w:ascii="仿宋" w:hAnsi="仿宋" w:eastAsia="仿宋"/>
          <w:b/>
          <w:color w:val="auto"/>
          <w:sz w:val="24"/>
          <w:lang w:val="en-US" w:eastAsia="zh-CN"/>
        </w:rPr>
        <w:t>附件一</w:t>
      </w:r>
      <w:r>
        <w:rPr>
          <w:rFonts w:hint="eastAsia" w:ascii="仿宋" w:hAnsi="仿宋" w:eastAsia="仿宋"/>
          <w:b/>
          <w:color w:val="auto"/>
          <w:sz w:val="24"/>
          <w:lang w:eastAsia="zh-CN"/>
        </w:rPr>
        <w:t>）</w:t>
      </w:r>
    </w:p>
    <w:tbl>
      <w:tblPr>
        <w:tblStyle w:val="17"/>
        <w:tblW w:w="879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77"/>
        <w:gridCol w:w="3466"/>
        <w:gridCol w:w="2253"/>
      </w:tblGrid>
      <w:tr w14:paraId="4AC0F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3077" w:type="dxa"/>
            <w:vAlign w:val="top"/>
          </w:tcPr>
          <w:p w14:paraId="12F51579">
            <w:pPr>
              <w:numPr>
                <w:ilvl w:val="0"/>
                <w:numId w:val="0"/>
              </w:numPr>
              <w:tabs>
                <w:tab w:val="left" w:pos="1080"/>
                <w:tab w:val="left" w:pos="1440"/>
              </w:tabs>
              <w:spacing w:before="156" w:beforeLines="50" w:line="360" w:lineRule="auto"/>
              <w:ind w:left="482" w:leftChars="0" w:firstLine="62"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名称</w:t>
            </w:r>
          </w:p>
        </w:tc>
        <w:tc>
          <w:tcPr>
            <w:tcW w:w="3466" w:type="dxa"/>
            <w:vAlign w:val="top"/>
          </w:tcPr>
          <w:p w14:paraId="5491FBFC">
            <w:pPr>
              <w:numPr>
                <w:ilvl w:val="0"/>
                <w:numId w:val="0"/>
              </w:numPr>
              <w:tabs>
                <w:tab w:val="left" w:pos="1080"/>
                <w:tab w:val="left" w:pos="1440"/>
              </w:tabs>
              <w:spacing w:before="156" w:beforeLines="50" w:line="360" w:lineRule="auto"/>
              <w:ind w:left="482" w:leftChars="0" w:firstLine="62"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预计采购数量</w:t>
            </w:r>
          </w:p>
        </w:tc>
        <w:tc>
          <w:tcPr>
            <w:tcW w:w="2253" w:type="dxa"/>
            <w:vAlign w:val="top"/>
          </w:tcPr>
          <w:p w14:paraId="6C4AF332">
            <w:pPr>
              <w:numPr>
                <w:ilvl w:val="0"/>
                <w:numId w:val="0"/>
              </w:numPr>
              <w:tabs>
                <w:tab w:val="left" w:pos="1080"/>
                <w:tab w:val="left" w:pos="1440"/>
              </w:tabs>
              <w:spacing w:before="156" w:beforeLines="50" w:line="360" w:lineRule="auto"/>
              <w:ind w:left="482" w:leftChars="0" w:firstLine="62"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合同年限</w:t>
            </w:r>
          </w:p>
        </w:tc>
      </w:tr>
      <w:tr w14:paraId="5063C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3077" w:type="dxa"/>
            <w:vAlign w:val="top"/>
          </w:tcPr>
          <w:p w14:paraId="0033BACD">
            <w:pPr>
              <w:numPr>
                <w:ilvl w:val="0"/>
                <w:numId w:val="0"/>
              </w:numPr>
              <w:tabs>
                <w:tab w:val="left" w:pos="1080"/>
                <w:tab w:val="left" w:pos="1440"/>
              </w:tabs>
              <w:spacing w:before="156" w:beforeLines="50" w:line="360" w:lineRule="auto"/>
              <w:ind w:left="482" w:leftChars="0" w:firstLine="62"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碱性清洗剂</w:t>
            </w:r>
          </w:p>
        </w:tc>
        <w:tc>
          <w:tcPr>
            <w:tcW w:w="3466" w:type="dxa"/>
            <w:vAlign w:val="top"/>
          </w:tcPr>
          <w:p w14:paraId="0DCBE70E">
            <w:pPr>
              <w:numPr>
                <w:ilvl w:val="0"/>
                <w:numId w:val="0"/>
              </w:numPr>
              <w:tabs>
                <w:tab w:val="left" w:pos="1080"/>
                <w:tab w:val="left" w:pos="1440"/>
              </w:tabs>
              <w:spacing w:before="156" w:beforeLines="50" w:line="360" w:lineRule="auto"/>
              <w:ind w:left="482" w:leftChars="0" w:firstLine="1267" w:firstLineChars="526"/>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w:t>
            </w:r>
          </w:p>
        </w:tc>
        <w:tc>
          <w:tcPr>
            <w:tcW w:w="2253" w:type="dxa"/>
            <w:vMerge w:val="restart"/>
            <w:tcBorders>
              <w:bottom w:val="nil"/>
            </w:tcBorders>
            <w:vAlign w:val="top"/>
          </w:tcPr>
          <w:p w14:paraId="6FA30288">
            <w:pPr>
              <w:numPr>
                <w:ilvl w:val="0"/>
                <w:numId w:val="0"/>
              </w:numPr>
              <w:tabs>
                <w:tab w:val="left" w:pos="1080"/>
                <w:tab w:val="left" w:pos="1440"/>
              </w:tabs>
              <w:spacing w:before="156" w:beforeLines="50" w:line="360" w:lineRule="auto"/>
              <w:ind w:left="482" w:leftChars="0" w:firstLine="62" w:firstLineChars="0"/>
              <w:rPr>
                <w:rFonts w:hint="eastAsia" w:ascii="仿宋" w:hAnsi="仿宋" w:eastAsia="仿宋" w:cs="仿宋"/>
                <w:b/>
                <w:bCs/>
                <w:sz w:val="24"/>
                <w:szCs w:val="24"/>
                <w:lang w:val="en-US" w:eastAsia="zh-CN"/>
              </w:rPr>
            </w:pPr>
          </w:p>
          <w:p w14:paraId="0D0622DA">
            <w:pPr>
              <w:numPr>
                <w:ilvl w:val="0"/>
                <w:numId w:val="0"/>
              </w:numPr>
              <w:tabs>
                <w:tab w:val="left" w:pos="1080"/>
                <w:tab w:val="left" w:pos="1440"/>
              </w:tabs>
              <w:spacing w:before="156" w:beforeLines="50" w:line="360" w:lineRule="auto"/>
              <w:ind w:left="482" w:leftChars="0" w:firstLine="549" w:firstLineChars="22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 年</w:t>
            </w:r>
          </w:p>
        </w:tc>
      </w:tr>
      <w:tr w14:paraId="7B9FB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3077" w:type="dxa"/>
            <w:vAlign w:val="top"/>
          </w:tcPr>
          <w:p w14:paraId="1A461A25">
            <w:pPr>
              <w:numPr>
                <w:ilvl w:val="0"/>
                <w:numId w:val="0"/>
              </w:numPr>
              <w:tabs>
                <w:tab w:val="left" w:pos="1080"/>
                <w:tab w:val="left" w:pos="1440"/>
              </w:tabs>
              <w:spacing w:before="156" w:beforeLines="50" w:line="360" w:lineRule="auto"/>
              <w:ind w:left="482" w:leftChars="0" w:firstLine="62"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酸性清洗剂</w:t>
            </w:r>
          </w:p>
        </w:tc>
        <w:tc>
          <w:tcPr>
            <w:tcW w:w="3466" w:type="dxa"/>
            <w:vAlign w:val="top"/>
          </w:tcPr>
          <w:p w14:paraId="4939E20D">
            <w:pPr>
              <w:numPr>
                <w:ilvl w:val="0"/>
                <w:numId w:val="0"/>
              </w:numPr>
              <w:tabs>
                <w:tab w:val="left" w:pos="1080"/>
                <w:tab w:val="left" w:pos="1440"/>
              </w:tabs>
              <w:spacing w:before="156" w:beforeLines="50" w:line="360" w:lineRule="auto"/>
              <w:ind w:firstLine="1687" w:firstLineChars="7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w:t>
            </w:r>
          </w:p>
        </w:tc>
        <w:tc>
          <w:tcPr>
            <w:tcW w:w="2253" w:type="dxa"/>
            <w:vMerge w:val="continue"/>
            <w:tcBorders>
              <w:top w:val="nil"/>
              <w:bottom w:val="nil"/>
            </w:tcBorders>
            <w:vAlign w:val="top"/>
          </w:tcPr>
          <w:p w14:paraId="09DC2B92">
            <w:pPr>
              <w:rPr>
                <w:rFonts w:ascii="Arial"/>
                <w:sz w:val="21"/>
              </w:rPr>
            </w:pPr>
          </w:p>
        </w:tc>
      </w:tr>
      <w:tr w14:paraId="5D232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jc w:val="center"/>
        </w:trPr>
        <w:tc>
          <w:tcPr>
            <w:tcW w:w="3077" w:type="dxa"/>
            <w:vAlign w:val="top"/>
          </w:tcPr>
          <w:p w14:paraId="551ED1F0">
            <w:pPr>
              <w:numPr>
                <w:ilvl w:val="0"/>
                <w:numId w:val="0"/>
              </w:numPr>
              <w:tabs>
                <w:tab w:val="left" w:pos="1080"/>
                <w:tab w:val="left" w:pos="1440"/>
              </w:tabs>
              <w:spacing w:before="156" w:beforeLines="50" w:line="360" w:lineRule="auto"/>
              <w:ind w:left="482" w:leftChars="0" w:firstLine="62"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过氧乙酸</w:t>
            </w:r>
          </w:p>
        </w:tc>
        <w:tc>
          <w:tcPr>
            <w:tcW w:w="3466" w:type="dxa"/>
            <w:vAlign w:val="top"/>
          </w:tcPr>
          <w:p w14:paraId="7369C1DC">
            <w:pPr>
              <w:numPr>
                <w:ilvl w:val="0"/>
                <w:numId w:val="0"/>
              </w:numPr>
              <w:tabs>
                <w:tab w:val="left" w:pos="1080"/>
                <w:tab w:val="left" w:pos="1440"/>
              </w:tabs>
              <w:spacing w:before="156" w:beforeLines="50" w:line="360" w:lineRule="auto"/>
              <w:ind w:left="482" w:leftChars="0" w:firstLine="1267" w:firstLineChars="526"/>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w:t>
            </w:r>
          </w:p>
        </w:tc>
        <w:tc>
          <w:tcPr>
            <w:tcW w:w="2253" w:type="dxa"/>
            <w:vMerge w:val="continue"/>
            <w:tcBorders>
              <w:top w:val="nil"/>
            </w:tcBorders>
            <w:vAlign w:val="top"/>
          </w:tcPr>
          <w:p w14:paraId="6E06A6A6">
            <w:pPr>
              <w:rPr>
                <w:rFonts w:ascii="Arial"/>
                <w:sz w:val="21"/>
              </w:rPr>
            </w:pPr>
          </w:p>
        </w:tc>
      </w:tr>
    </w:tbl>
    <w:p w14:paraId="1F5F693B">
      <w:pPr>
        <w:rPr>
          <w:rFonts w:hint="eastAsia" w:ascii="宋体" w:hAnsi="宋体" w:cs="宋体"/>
          <w:color w:val="000000"/>
          <w:sz w:val="24"/>
          <w:szCs w:val="24"/>
          <w:lang w:val="en-US" w:eastAsia="zh-CN"/>
        </w:rPr>
      </w:pPr>
    </w:p>
    <w:p w14:paraId="03AB0663">
      <w:pPr>
        <w:rPr>
          <w:rFonts w:ascii="宋体" w:hAnsi="宋体" w:eastAsia="宋体" w:cs="宋体"/>
          <w:sz w:val="35"/>
          <w:szCs w:val="35"/>
        </w:rPr>
      </w:pPr>
      <w:r>
        <w:rPr>
          <w:rFonts w:hint="eastAsia" w:ascii="宋体" w:hAnsi="宋体" w:cs="宋体"/>
          <w:color w:val="000000"/>
          <w:sz w:val="24"/>
          <w:szCs w:val="24"/>
          <w:lang w:val="en-US" w:eastAsia="zh-CN"/>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复合清洗剂的质量要求及技术标准</w:t>
      </w:r>
    </w:p>
    <w:p w14:paraId="4F918CC3">
      <w:pPr>
        <w:pStyle w:val="7"/>
        <w:spacing w:line="268" w:lineRule="auto"/>
        <w:ind w:firstLine="240" w:firstLineChars="100"/>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mc:AlternateContent>
          <mc:Choice Requires="wps">
            <w:drawing>
              <wp:anchor distT="0" distB="0" distL="114300" distR="114300" simplePos="0" relativeHeight="251659264" behindDoc="0" locked="0" layoutInCell="0" allowOverlap="1">
                <wp:simplePos x="0" y="0"/>
                <wp:positionH relativeFrom="page">
                  <wp:posOffset>900430</wp:posOffset>
                </wp:positionH>
                <wp:positionV relativeFrom="page">
                  <wp:posOffset>617855</wp:posOffset>
                </wp:positionV>
                <wp:extent cx="5760720"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5760720" cy="9525"/>
                        </a:xfrm>
                        <a:custGeom>
                          <a:avLst/>
                          <a:gdLst/>
                          <a:ahLst/>
                          <a:cxnLst/>
                          <a:pathLst>
                            <a:path w="9072" h="15">
                              <a:moveTo>
                                <a:pt x="0" y="0"/>
                              </a:moveTo>
                              <a:lnTo>
                                <a:pt x="9071" y="0"/>
                              </a:lnTo>
                              <a:lnTo>
                                <a:pt x="9071"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48.65pt;height:0.75pt;width:453.6pt;mso-position-horizontal-relative:page;mso-position-vertical-relative:page;z-index:251659264;mso-width-relative:page;mso-height-relative:page;" fillcolor="#000000" filled="t" stroked="f" coordsize="9072,15" o:allowincell="f" o:gfxdata="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lYWd9kAAAAKAQAADwAAAAAA&#10;AAABACAAAAAiAAAAZHJzL2Rvd25yZXYueG1sUEsBAhQAFAAAAAgAh07iQInP0soSAgAAewQAAA4A&#10;AAAAAAAAAQAgAAAAKAEAAGRycy9lMm9Eb2MueG1sUEsFBgAAAAAGAAYAWQEAAKwFAAAAAA==&#10;" path="m0,0l9071,0,9071,14,0,14,0,0xe">
                <v:fill on="t" focussize="0,0"/>
                <v:stroke on="f"/>
                <v:imagedata o:title=""/>
                <o:lock v:ext="edit" aspectratio="f"/>
              </v:shape>
            </w:pict>
          </mc:Fallback>
        </mc:AlternateContent>
      </w:r>
      <w:r>
        <w:rPr>
          <w:rFonts w:hint="eastAsia" w:ascii="仿宋" w:hAnsi="仿宋" w:eastAsia="仿宋" w:cs="Times New Roman"/>
          <w:color w:val="auto"/>
          <w:kern w:val="2"/>
          <w:sz w:val="24"/>
          <w:szCs w:val="24"/>
          <w:lang w:val="en-US" w:eastAsia="zh-CN" w:bidi="ar-SA"/>
        </w:rPr>
        <w:t>1、感官指标</w:t>
      </w:r>
    </w:p>
    <w:p w14:paraId="23DCFDE2">
      <w:pPr>
        <w:spacing w:line="221" w:lineRule="auto"/>
        <w:ind w:left="152"/>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1.1 外观</w:t>
      </w:r>
    </w:p>
    <w:p w14:paraId="2C83CB52">
      <w:pPr>
        <w:spacing w:before="26" w:line="221" w:lineRule="auto"/>
        <w:ind w:left="132"/>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产品不分层，无悬浮物或沉淀。</w:t>
      </w:r>
    </w:p>
    <w:p w14:paraId="0A947EFF">
      <w:pPr>
        <w:spacing w:before="28" w:line="221" w:lineRule="auto"/>
        <w:ind w:left="152"/>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1.2 气味</w:t>
      </w:r>
    </w:p>
    <w:p w14:paraId="10864CE9">
      <w:pPr>
        <w:spacing w:before="25" w:line="241" w:lineRule="auto"/>
        <w:ind w:left="134"/>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无产品特性以外的其他异味。</w:t>
      </w:r>
    </w:p>
    <w:p w14:paraId="786DE988">
      <w:pPr>
        <w:numPr>
          <w:ilvl w:val="0"/>
          <w:numId w:val="3"/>
        </w:numPr>
        <w:spacing w:line="212" w:lineRule="auto"/>
        <w:ind w:left="135"/>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理化指标</w:t>
      </w:r>
    </w:p>
    <w:p w14:paraId="3B35EB2E">
      <w:pPr>
        <w:numPr>
          <w:ilvl w:val="0"/>
          <w:numId w:val="0"/>
        </w:numPr>
        <w:spacing w:line="212" w:lineRule="auto"/>
        <w:rPr>
          <w:rFonts w:hint="eastAsia" w:ascii="仿宋" w:hAnsi="仿宋" w:eastAsia="仿宋" w:cs="Times New Roman"/>
          <w:color w:val="auto"/>
          <w:kern w:val="2"/>
          <w:sz w:val="24"/>
          <w:szCs w:val="24"/>
          <w:lang w:val="en-US" w:eastAsia="zh-CN" w:bidi="ar-SA"/>
        </w:rPr>
      </w:pPr>
    </w:p>
    <w:tbl>
      <w:tblPr>
        <w:tblStyle w:val="17"/>
        <w:tblW w:w="852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91"/>
        <w:gridCol w:w="3535"/>
      </w:tblGrid>
      <w:tr w14:paraId="09C8F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4991" w:type="dxa"/>
            <w:vAlign w:val="top"/>
          </w:tcPr>
          <w:p w14:paraId="7854A539">
            <w:pPr>
              <w:pStyle w:val="18"/>
              <w:spacing w:before="45" w:line="209" w:lineRule="auto"/>
              <w:ind w:left="2228"/>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项目</w:t>
            </w:r>
          </w:p>
        </w:tc>
        <w:tc>
          <w:tcPr>
            <w:tcW w:w="3535" w:type="dxa"/>
            <w:vAlign w:val="top"/>
          </w:tcPr>
          <w:p w14:paraId="79A102B8">
            <w:pPr>
              <w:pStyle w:val="18"/>
              <w:spacing w:before="45" w:line="209" w:lineRule="auto"/>
              <w:ind w:left="1496"/>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标准</w:t>
            </w:r>
          </w:p>
        </w:tc>
      </w:tr>
      <w:tr w14:paraId="500CB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991" w:type="dxa"/>
            <w:vAlign w:val="top"/>
          </w:tcPr>
          <w:p w14:paraId="3FC114FA">
            <w:pPr>
              <w:pStyle w:val="18"/>
              <w:spacing w:before="41" w:line="209" w:lineRule="auto"/>
              <w:ind w:left="1108"/>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总五氧化二磷（P2O5 ）%</w:t>
            </w:r>
          </w:p>
        </w:tc>
        <w:tc>
          <w:tcPr>
            <w:tcW w:w="3535" w:type="dxa"/>
            <w:vAlign w:val="top"/>
          </w:tcPr>
          <w:p w14:paraId="6FB26F00">
            <w:pPr>
              <w:pStyle w:val="18"/>
              <w:spacing w:before="83" w:line="181" w:lineRule="auto"/>
              <w:ind w:left="1487"/>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≤1.1</w:t>
            </w:r>
          </w:p>
        </w:tc>
      </w:tr>
      <w:tr w14:paraId="42479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4991" w:type="dxa"/>
            <w:vAlign w:val="top"/>
          </w:tcPr>
          <w:p w14:paraId="47849B86">
            <w:pPr>
              <w:pStyle w:val="18"/>
              <w:spacing w:before="41" w:line="208" w:lineRule="auto"/>
              <w:ind w:left="820"/>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总碱的质量分数（以 NaOH 计）%</w:t>
            </w:r>
          </w:p>
        </w:tc>
        <w:tc>
          <w:tcPr>
            <w:tcW w:w="3535" w:type="dxa"/>
            <w:vAlign w:val="top"/>
          </w:tcPr>
          <w:p w14:paraId="52A52877">
            <w:pPr>
              <w:pStyle w:val="18"/>
              <w:spacing w:before="85" w:line="179" w:lineRule="auto"/>
              <w:ind w:firstLine="1440" w:firstLineChars="600"/>
              <w:rPr>
                <w:rFonts w:hint="default"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45%-50%</w:t>
            </w:r>
          </w:p>
        </w:tc>
      </w:tr>
      <w:tr w14:paraId="33689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4991" w:type="dxa"/>
            <w:vAlign w:val="top"/>
          </w:tcPr>
          <w:p w14:paraId="67C14D2E">
            <w:pPr>
              <w:pStyle w:val="18"/>
              <w:spacing w:before="44" w:line="206" w:lineRule="auto"/>
              <w:ind w:left="600"/>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总酸的质量分数（以 HNO3 计）%</w:t>
            </w:r>
          </w:p>
        </w:tc>
        <w:tc>
          <w:tcPr>
            <w:tcW w:w="3535" w:type="dxa"/>
            <w:vAlign w:val="top"/>
          </w:tcPr>
          <w:p w14:paraId="0BBDAB64">
            <w:pPr>
              <w:pStyle w:val="18"/>
              <w:spacing w:before="88" w:line="177" w:lineRule="auto"/>
              <w:ind w:firstLine="1440" w:firstLineChars="600"/>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45%-55%</w:t>
            </w:r>
          </w:p>
        </w:tc>
      </w:tr>
      <w:tr w14:paraId="40693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4991" w:type="dxa"/>
            <w:vAlign w:val="top"/>
          </w:tcPr>
          <w:p w14:paraId="386ABC1C">
            <w:pPr>
              <w:pStyle w:val="18"/>
              <w:spacing w:before="44" w:line="207" w:lineRule="auto"/>
              <w:ind w:left="1811"/>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荧光增白剂</w:t>
            </w:r>
          </w:p>
        </w:tc>
        <w:tc>
          <w:tcPr>
            <w:tcW w:w="3535" w:type="dxa"/>
            <w:vAlign w:val="top"/>
          </w:tcPr>
          <w:p w14:paraId="371CD614">
            <w:pPr>
              <w:pStyle w:val="18"/>
              <w:spacing w:before="44" w:line="207" w:lineRule="auto"/>
              <w:ind w:left="1219"/>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不得检出</w:t>
            </w:r>
          </w:p>
        </w:tc>
      </w:tr>
      <w:tr w14:paraId="71CD9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991" w:type="dxa"/>
            <w:vAlign w:val="top"/>
          </w:tcPr>
          <w:p w14:paraId="7143CFC9">
            <w:pPr>
              <w:pStyle w:val="18"/>
              <w:spacing w:before="45" w:line="206" w:lineRule="auto"/>
              <w:ind w:left="1382"/>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砷（AS）（mg/kg）</w:t>
            </w:r>
          </w:p>
        </w:tc>
        <w:tc>
          <w:tcPr>
            <w:tcW w:w="3535" w:type="dxa"/>
            <w:vAlign w:val="top"/>
          </w:tcPr>
          <w:p w14:paraId="6534483A">
            <w:pPr>
              <w:spacing w:before="64" w:line="194" w:lineRule="auto"/>
              <w:ind w:left="1619"/>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≤5</w:t>
            </w:r>
          </w:p>
        </w:tc>
      </w:tr>
      <w:tr w14:paraId="08798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4991" w:type="dxa"/>
            <w:vAlign w:val="top"/>
          </w:tcPr>
          <w:p w14:paraId="00723EF7">
            <w:pPr>
              <w:pStyle w:val="18"/>
              <w:spacing w:before="44" w:line="206" w:lineRule="auto"/>
              <w:ind w:left="756"/>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重金属（以 Pb 计）（mg/kg）</w:t>
            </w:r>
          </w:p>
        </w:tc>
        <w:tc>
          <w:tcPr>
            <w:tcW w:w="3535" w:type="dxa"/>
            <w:vAlign w:val="top"/>
          </w:tcPr>
          <w:p w14:paraId="18EE244C">
            <w:pPr>
              <w:spacing w:before="61" w:line="197" w:lineRule="auto"/>
              <w:ind w:left="1463"/>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≤100</w:t>
            </w:r>
          </w:p>
        </w:tc>
      </w:tr>
      <w:tr w14:paraId="03F7B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991" w:type="dxa"/>
            <w:vAlign w:val="top"/>
          </w:tcPr>
          <w:p w14:paraId="5F2C3EA4">
            <w:pPr>
              <w:pStyle w:val="18"/>
              <w:spacing w:before="44" w:line="207" w:lineRule="auto"/>
              <w:ind w:left="2190"/>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甲醇%</w:t>
            </w:r>
          </w:p>
        </w:tc>
        <w:tc>
          <w:tcPr>
            <w:tcW w:w="3535" w:type="dxa"/>
            <w:vAlign w:val="top"/>
          </w:tcPr>
          <w:p w14:paraId="768DE1A5">
            <w:pPr>
              <w:spacing w:before="61" w:line="197" w:lineRule="auto"/>
              <w:ind w:left="1502"/>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≤0.1</w:t>
            </w:r>
          </w:p>
        </w:tc>
      </w:tr>
      <w:tr w14:paraId="0B1CC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4991" w:type="dxa"/>
            <w:vAlign w:val="top"/>
          </w:tcPr>
          <w:p w14:paraId="534678F8">
            <w:pPr>
              <w:pStyle w:val="18"/>
              <w:spacing w:before="46" w:line="208" w:lineRule="auto"/>
              <w:ind w:left="2190"/>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甲醛%</w:t>
            </w:r>
          </w:p>
        </w:tc>
        <w:tc>
          <w:tcPr>
            <w:tcW w:w="3535" w:type="dxa"/>
            <w:vAlign w:val="top"/>
          </w:tcPr>
          <w:p w14:paraId="144CFAA6">
            <w:pPr>
              <w:spacing w:before="60" w:line="197" w:lineRule="auto"/>
              <w:ind w:left="1502"/>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≤0.1</w:t>
            </w:r>
          </w:p>
        </w:tc>
      </w:tr>
    </w:tbl>
    <w:p w14:paraId="103097EF">
      <w:pPr>
        <w:spacing w:before="40" w:line="213" w:lineRule="auto"/>
        <w:ind w:left="137"/>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3、微生物限量</w:t>
      </w:r>
    </w:p>
    <w:tbl>
      <w:tblPr>
        <w:tblStyle w:val="17"/>
        <w:tblW w:w="852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95"/>
        <w:gridCol w:w="3531"/>
      </w:tblGrid>
      <w:tr w14:paraId="08A3B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1" w:hRule="atLeast"/>
        </w:trPr>
        <w:tc>
          <w:tcPr>
            <w:tcW w:w="4995" w:type="dxa"/>
            <w:vAlign w:val="top"/>
          </w:tcPr>
          <w:p w14:paraId="38D386FB">
            <w:pPr>
              <w:pStyle w:val="18"/>
              <w:spacing w:before="47" w:line="207" w:lineRule="auto"/>
              <w:ind w:left="2230"/>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项目</w:t>
            </w:r>
          </w:p>
        </w:tc>
        <w:tc>
          <w:tcPr>
            <w:tcW w:w="3531" w:type="dxa"/>
            <w:vAlign w:val="top"/>
          </w:tcPr>
          <w:p w14:paraId="450910D6">
            <w:pPr>
              <w:pStyle w:val="18"/>
              <w:spacing w:before="47" w:line="207" w:lineRule="auto"/>
              <w:ind w:left="1494"/>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标准</w:t>
            </w:r>
          </w:p>
        </w:tc>
      </w:tr>
      <w:tr w14:paraId="35D1C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4995" w:type="dxa"/>
            <w:vAlign w:val="top"/>
          </w:tcPr>
          <w:p w14:paraId="2D0E2F56">
            <w:pPr>
              <w:pStyle w:val="18"/>
              <w:spacing w:before="42" w:line="207" w:lineRule="auto"/>
              <w:ind w:left="691"/>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菌落总数（CFU/g 或 CFU/mL）</w:t>
            </w:r>
          </w:p>
        </w:tc>
        <w:tc>
          <w:tcPr>
            <w:tcW w:w="3531" w:type="dxa"/>
            <w:vAlign w:val="top"/>
          </w:tcPr>
          <w:p w14:paraId="7141D859">
            <w:pPr>
              <w:spacing w:before="59" w:line="197" w:lineRule="auto"/>
              <w:ind w:left="1385"/>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≤1000</w:t>
            </w:r>
          </w:p>
        </w:tc>
      </w:tr>
      <w:tr w14:paraId="38092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4995" w:type="dxa"/>
            <w:vAlign w:val="top"/>
          </w:tcPr>
          <w:p w14:paraId="128812C0">
            <w:pPr>
              <w:pStyle w:val="18"/>
              <w:spacing w:before="45" w:line="208" w:lineRule="auto"/>
              <w:ind w:left="688"/>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大肠菌群（CFU/g 或 CFU/mL）</w:t>
            </w:r>
          </w:p>
        </w:tc>
        <w:tc>
          <w:tcPr>
            <w:tcW w:w="3531" w:type="dxa"/>
            <w:vAlign w:val="top"/>
          </w:tcPr>
          <w:p w14:paraId="7D397611">
            <w:pPr>
              <w:spacing w:before="62" w:line="197" w:lineRule="auto"/>
              <w:ind w:left="1541"/>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≤30</w:t>
            </w:r>
          </w:p>
        </w:tc>
      </w:tr>
    </w:tbl>
    <w:p w14:paraId="2DD2B5D4">
      <w:pPr>
        <w:spacing w:before="175"/>
        <w:rPr>
          <w:rFonts w:hint="eastAsia" w:ascii="仿宋" w:hAnsi="仿宋" w:eastAsia="仿宋" w:cs="Times New Roman"/>
          <w:color w:val="auto"/>
          <w:kern w:val="2"/>
          <w:sz w:val="24"/>
          <w:szCs w:val="24"/>
          <w:lang w:val="en-US" w:eastAsia="zh-CN" w:bidi="ar-SA"/>
        </w:rPr>
      </w:pPr>
    </w:p>
    <w:tbl>
      <w:tblPr>
        <w:tblStyle w:val="17"/>
        <w:tblW w:w="85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18"/>
        <w:gridCol w:w="2579"/>
        <w:gridCol w:w="2457"/>
      </w:tblGrid>
      <w:tr w14:paraId="51FBD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8554" w:type="dxa"/>
            <w:gridSpan w:val="3"/>
            <w:vAlign w:val="top"/>
          </w:tcPr>
          <w:p w14:paraId="5452157A">
            <w:pPr>
              <w:pStyle w:val="18"/>
              <w:spacing w:before="46" w:line="208" w:lineRule="auto"/>
              <w:ind w:left="123"/>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3. 过氧乙酸</w:t>
            </w:r>
          </w:p>
        </w:tc>
      </w:tr>
      <w:tr w14:paraId="30A43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3518" w:type="dxa"/>
            <w:vAlign w:val="top"/>
          </w:tcPr>
          <w:p w14:paraId="35B070F0">
            <w:pPr>
              <w:pStyle w:val="18"/>
              <w:spacing w:before="40" w:line="224" w:lineRule="auto"/>
              <w:ind w:left="1491" w:right="147" w:hanging="1334"/>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硫酸盐（以 so4 计），质量 分数</w:t>
            </w:r>
          </w:p>
        </w:tc>
        <w:tc>
          <w:tcPr>
            <w:tcW w:w="2579" w:type="dxa"/>
            <w:vAlign w:val="top"/>
          </w:tcPr>
          <w:p w14:paraId="79038EDF">
            <w:pPr>
              <w:spacing w:line="311" w:lineRule="auto"/>
              <w:rPr>
                <w:rFonts w:hint="eastAsia" w:ascii="仿宋" w:hAnsi="仿宋" w:eastAsia="仿宋" w:cs="Times New Roman"/>
                <w:color w:val="auto"/>
                <w:kern w:val="2"/>
                <w:sz w:val="24"/>
                <w:szCs w:val="24"/>
                <w:lang w:val="en-US" w:eastAsia="zh-CN" w:bidi="ar-SA"/>
              </w:rPr>
            </w:pPr>
          </w:p>
          <w:p w14:paraId="42AD2A83">
            <w:pPr>
              <w:pStyle w:val="18"/>
              <w:spacing w:before="91" w:line="208" w:lineRule="auto"/>
              <w:ind w:left="1107"/>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≤3</w:t>
            </w:r>
          </w:p>
        </w:tc>
        <w:tc>
          <w:tcPr>
            <w:tcW w:w="2457" w:type="dxa"/>
            <w:vAlign w:val="top"/>
          </w:tcPr>
          <w:p w14:paraId="5EFA9C6D">
            <w:pPr>
              <w:pStyle w:val="18"/>
              <w:spacing w:before="40" w:line="224" w:lineRule="auto"/>
              <w:ind w:left="823" w:right="104" w:hanging="705"/>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按 GB/T 9728 的规 定执行</w:t>
            </w:r>
          </w:p>
        </w:tc>
      </w:tr>
      <w:tr w14:paraId="46449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3518" w:type="dxa"/>
            <w:vAlign w:val="top"/>
          </w:tcPr>
          <w:p w14:paraId="6F0B0F08">
            <w:pPr>
              <w:spacing w:line="313" w:lineRule="auto"/>
              <w:rPr>
                <w:rFonts w:hint="eastAsia" w:ascii="仿宋" w:hAnsi="仿宋" w:eastAsia="仿宋" w:cs="Times New Roman"/>
                <w:color w:val="auto"/>
                <w:kern w:val="2"/>
                <w:sz w:val="24"/>
                <w:szCs w:val="24"/>
                <w:lang w:val="en-US" w:eastAsia="zh-CN" w:bidi="ar-SA"/>
              </w:rPr>
            </w:pPr>
          </w:p>
          <w:p w14:paraId="470AB98B">
            <w:pPr>
              <w:pStyle w:val="18"/>
              <w:spacing w:before="91" w:line="220" w:lineRule="auto"/>
              <w:ind w:left="581"/>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灼烧残渣质量分数%</w:t>
            </w:r>
          </w:p>
        </w:tc>
        <w:tc>
          <w:tcPr>
            <w:tcW w:w="2579" w:type="dxa"/>
            <w:vAlign w:val="top"/>
          </w:tcPr>
          <w:p w14:paraId="2AF754BE">
            <w:pPr>
              <w:spacing w:line="313" w:lineRule="auto"/>
              <w:rPr>
                <w:rFonts w:hint="eastAsia" w:ascii="仿宋" w:hAnsi="仿宋" w:eastAsia="仿宋" w:cs="Times New Roman"/>
                <w:color w:val="auto"/>
                <w:kern w:val="2"/>
                <w:sz w:val="24"/>
                <w:szCs w:val="24"/>
                <w:lang w:val="en-US" w:eastAsia="zh-CN" w:bidi="ar-SA"/>
              </w:rPr>
            </w:pPr>
          </w:p>
          <w:p w14:paraId="174488C0">
            <w:pPr>
              <w:pStyle w:val="18"/>
              <w:spacing w:before="91" w:line="237" w:lineRule="auto"/>
              <w:ind w:left="968"/>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≤0.1</w:t>
            </w:r>
          </w:p>
        </w:tc>
        <w:tc>
          <w:tcPr>
            <w:tcW w:w="2457" w:type="dxa"/>
            <w:vAlign w:val="top"/>
          </w:tcPr>
          <w:p w14:paraId="1D0A4AE5">
            <w:pPr>
              <w:pStyle w:val="18"/>
              <w:spacing w:before="44" w:line="222" w:lineRule="auto"/>
              <w:ind w:left="218"/>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GB/T9741 化学试</w:t>
            </w:r>
          </w:p>
          <w:p w14:paraId="0FD719E7">
            <w:pPr>
              <w:pStyle w:val="18"/>
              <w:spacing w:before="25" w:line="220" w:lineRule="auto"/>
              <w:ind w:left="256"/>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剂灼烧残渣测定</w:t>
            </w:r>
          </w:p>
          <w:p w14:paraId="6BD819C4">
            <w:pPr>
              <w:pStyle w:val="18"/>
              <w:spacing w:before="28" w:line="208" w:lineRule="auto"/>
              <w:ind w:left="956"/>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通用</w:t>
            </w:r>
          </w:p>
        </w:tc>
      </w:tr>
      <w:tr w14:paraId="457E2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8" w:hRule="atLeast"/>
        </w:trPr>
        <w:tc>
          <w:tcPr>
            <w:tcW w:w="3518" w:type="dxa"/>
            <w:vAlign w:val="top"/>
          </w:tcPr>
          <w:p w14:paraId="0C39C7EF">
            <w:pPr>
              <w:spacing w:line="336" w:lineRule="auto"/>
              <w:rPr>
                <w:rFonts w:hint="eastAsia" w:ascii="仿宋" w:hAnsi="仿宋" w:eastAsia="仿宋" w:cs="Times New Roman"/>
                <w:color w:val="auto"/>
                <w:kern w:val="2"/>
                <w:sz w:val="24"/>
                <w:szCs w:val="24"/>
                <w:lang w:val="en-US" w:eastAsia="zh-CN" w:bidi="ar-SA"/>
              </w:rPr>
            </w:pPr>
          </w:p>
          <w:p w14:paraId="2464B9C3">
            <w:pPr>
              <w:spacing w:line="337" w:lineRule="auto"/>
              <w:rPr>
                <w:rFonts w:hint="eastAsia" w:ascii="仿宋" w:hAnsi="仿宋" w:eastAsia="仿宋" w:cs="Times New Roman"/>
                <w:color w:val="auto"/>
                <w:kern w:val="2"/>
                <w:sz w:val="24"/>
                <w:szCs w:val="24"/>
                <w:lang w:val="en-US" w:eastAsia="zh-CN" w:bidi="ar-SA"/>
              </w:rPr>
            </w:pPr>
          </w:p>
          <w:p w14:paraId="2215A43D">
            <w:pPr>
              <w:pStyle w:val="18"/>
              <w:spacing w:before="91" w:line="215" w:lineRule="auto"/>
              <w:ind w:left="159"/>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重金属（以 pb 计），mg/kg</w:t>
            </w:r>
          </w:p>
        </w:tc>
        <w:tc>
          <w:tcPr>
            <w:tcW w:w="2579" w:type="dxa"/>
            <w:vAlign w:val="top"/>
          </w:tcPr>
          <w:p w14:paraId="06B71F16">
            <w:pPr>
              <w:spacing w:line="337" w:lineRule="auto"/>
              <w:rPr>
                <w:rFonts w:hint="eastAsia" w:ascii="仿宋" w:hAnsi="仿宋" w:eastAsia="仿宋" w:cs="Times New Roman"/>
                <w:color w:val="auto"/>
                <w:kern w:val="2"/>
                <w:sz w:val="24"/>
                <w:szCs w:val="24"/>
                <w:lang w:val="en-US" w:eastAsia="zh-CN" w:bidi="ar-SA"/>
              </w:rPr>
            </w:pPr>
          </w:p>
          <w:p w14:paraId="703C4D98">
            <w:pPr>
              <w:spacing w:line="337" w:lineRule="auto"/>
              <w:rPr>
                <w:rFonts w:hint="eastAsia" w:ascii="仿宋" w:hAnsi="仿宋" w:eastAsia="仿宋" w:cs="Times New Roman"/>
                <w:color w:val="auto"/>
                <w:kern w:val="2"/>
                <w:sz w:val="24"/>
                <w:szCs w:val="24"/>
                <w:lang w:val="en-US" w:eastAsia="zh-CN" w:bidi="ar-SA"/>
              </w:rPr>
            </w:pPr>
          </w:p>
          <w:p w14:paraId="1B4521E3">
            <w:pPr>
              <w:pStyle w:val="18"/>
              <w:spacing w:before="91" w:line="237" w:lineRule="auto"/>
              <w:ind w:left="1107"/>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≤5</w:t>
            </w:r>
          </w:p>
        </w:tc>
        <w:tc>
          <w:tcPr>
            <w:tcW w:w="2457" w:type="dxa"/>
            <w:vAlign w:val="top"/>
          </w:tcPr>
          <w:p w14:paraId="605D3BFB">
            <w:pPr>
              <w:pStyle w:val="18"/>
              <w:spacing w:before="43" w:line="221" w:lineRule="auto"/>
              <w:ind w:left="190"/>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见 GB9985 手洗餐</w:t>
            </w:r>
          </w:p>
          <w:p w14:paraId="6FBBE9E4">
            <w:pPr>
              <w:pStyle w:val="18"/>
              <w:spacing w:before="27" w:line="220" w:lineRule="auto"/>
              <w:ind w:left="402"/>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具用洗涤剂中</w:t>
            </w:r>
          </w:p>
          <w:p w14:paraId="0E3DB111">
            <w:pPr>
              <w:pStyle w:val="18"/>
              <w:spacing w:before="28" w:line="220" w:lineRule="auto"/>
              <w:ind w:left="339"/>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“4.10 和附录</w:t>
            </w:r>
          </w:p>
          <w:p w14:paraId="2B57933B">
            <w:pPr>
              <w:pStyle w:val="18"/>
              <w:spacing w:before="31" w:line="224" w:lineRule="auto"/>
              <w:ind w:left="113"/>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G ”，或 GB/T9735</w:t>
            </w:r>
          </w:p>
          <w:p w14:paraId="6E557592">
            <w:pPr>
              <w:pStyle w:val="18"/>
              <w:spacing w:before="22" w:line="206" w:lineRule="auto"/>
              <w:ind w:left="559"/>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的规定执行</w:t>
            </w:r>
          </w:p>
        </w:tc>
      </w:tr>
      <w:tr w14:paraId="2A4C4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3518" w:type="dxa"/>
            <w:vAlign w:val="top"/>
          </w:tcPr>
          <w:p w14:paraId="5AC92CDD">
            <w:pPr>
              <w:pStyle w:val="18"/>
              <w:spacing w:before="47" w:line="208" w:lineRule="auto"/>
              <w:ind w:left="123"/>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过氧乙酸 c2h4o3 质量分数</w:t>
            </w:r>
          </w:p>
        </w:tc>
        <w:tc>
          <w:tcPr>
            <w:tcW w:w="2579" w:type="dxa"/>
            <w:vAlign w:val="top"/>
          </w:tcPr>
          <w:p w14:paraId="766A28CD">
            <w:pPr>
              <w:pStyle w:val="18"/>
              <w:spacing w:before="47" w:line="208" w:lineRule="auto"/>
              <w:ind w:left="1045"/>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≥15</w:t>
            </w:r>
          </w:p>
        </w:tc>
        <w:tc>
          <w:tcPr>
            <w:tcW w:w="2457" w:type="dxa"/>
            <w:vAlign w:val="top"/>
          </w:tcPr>
          <w:p w14:paraId="18132F4D">
            <w:pPr>
              <w:pStyle w:val="18"/>
              <w:spacing w:before="89" w:line="180" w:lineRule="auto"/>
              <w:ind w:left="672"/>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GB 19104</w:t>
            </w:r>
          </w:p>
        </w:tc>
      </w:tr>
    </w:tbl>
    <w:p w14:paraId="7394C8AA">
      <w:pPr>
        <w:pStyle w:val="7"/>
        <w:spacing w:line="280" w:lineRule="auto"/>
        <w:rPr>
          <w:rFonts w:hint="eastAsia" w:ascii="仿宋" w:hAnsi="仿宋" w:eastAsia="仿宋" w:cs="Times New Roman"/>
          <w:color w:val="auto"/>
          <w:kern w:val="2"/>
          <w:sz w:val="24"/>
          <w:szCs w:val="24"/>
          <w:lang w:val="en-US" w:eastAsia="zh-CN" w:bidi="ar-SA"/>
        </w:rPr>
      </w:pPr>
    </w:p>
    <w:p w14:paraId="54539F38">
      <w:pPr>
        <w:spacing w:before="92" w:line="561" w:lineRule="exact"/>
        <w:ind w:left="163"/>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以上指标以外检报告为准，其余未描述到的要求需符合其他相关国家标准</w:t>
      </w:r>
    </w:p>
    <w:p w14:paraId="39E113B6">
      <w:pPr>
        <w:spacing w:before="1" w:line="221" w:lineRule="auto"/>
        <w:ind w:left="135"/>
        <w:rPr>
          <w:rFonts w:ascii="宋体" w:hAnsi="宋体" w:eastAsia="宋体" w:cs="宋体"/>
          <w:sz w:val="28"/>
          <w:szCs w:val="28"/>
        </w:rPr>
      </w:pPr>
      <w:r>
        <w:rPr>
          <w:rFonts w:hint="eastAsia" w:ascii="仿宋" w:hAnsi="仿宋" w:eastAsia="仿宋" w:cs="Times New Roman"/>
          <w:color w:val="auto"/>
          <w:kern w:val="2"/>
          <w:sz w:val="24"/>
          <w:szCs w:val="24"/>
          <w:lang w:val="en-US" w:eastAsia="zh-CN" w:bidi="ar-SA"/>
        </w:rPr>
        <w:t>或企业标准，标准如下：</w:t>
      </w:r>
    </w:p>
    <w:p w14:paraId="6C168DC2">
      <w:pPr>
        <w:spacing w:before="92" w:line="561" w:lineRule="exact"/>
        <w:ind w:left="163"/>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GB14930.1-2015 《食品安全国家标准洗涤剂》</w:t>
      </w:r>
    </w:p>
    <w:p w14:paraId="244058B7">
      <w:pPr>
        <w:spacing w:before="92" w:line="561" w:lineRule="exact"/>
        <w:ind w:left="163"/>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QB/T 4313-2012 《食品工具和工业设备用酸性清洗剂》</w:t>
      </w:r>
    </w:p>
    <w:p w14:paraId="3C70C2C8">
      <w:pPr>
        <w:spacing w:before="92" w:line="561" w:lineRule="exact"/>
        <w:ind w:left="163"/>
        <w:rPr>
          <w:rFonts w:ascii="宋体" w:hAnsi="宋体" w:eastAsia="宋体" w:cs="宋体"/>
          <w:sz w:val="20"/>
          <w:szCs w:val="20"/>
        </w:rPr>
        <w:sectPr>
          <w:headerReference r:id="rId3" w:type="default"/>
          <w:pgSz w:w="11907" w:h="16840"/>
          <w:pgMar w:top="987" w:right="1417" w:bottom="0" w:left="1418" w:header="973" w:footer="0" w:gutter="0"/>
          <w:cols w:space="720" w:num="1"/>
        </w:sectPr>
      </w:pPr>
      <w:r>
        <w:rPr>
          <w:rFonts w:hint="eastAsia" w:ascii="仿宋" w:hAnsi="仿宋" w:eastAsia="仿宋" w:cs="Times New Roman"/>
          <w:color w:val="auto"/>
          <w:kern w:val="2"/>
          <w:sz w:val="24"/>
          <w:szCs w:val="24"/>
          <w:lang w:val="en-US" w:eastAsia="zh-CN" w:bidi="ar-SA"/>
        </w:rPr>
        <w:t>QB/T 4314-2012 《食品工具和工业设备用碱性清洗剂》</w:t>
      </w:r>
    </w:p>
    <w:p w14:paraId="135E641A">
      <w:pPr>
        <w:spacing w:line="360" w:lineRule="auto"/>
        <w:rPr>
          <w:rFonts w:hint="eastAsia" w:ascii="仿宋" w:hAnsi="仿宋" w:eastAsia="仿宋"/>
          <w:color w:val="auto"/>
          <w:sz w:val="24"/>
        </w:rPr>
      </w:pPr>
    </w:p>
    <w:p w14:paraId="51D8A83C">
      <w:pPr>
        <w:spacing w:line="360" w:lineRule="auto"/>
        <w:ind w:firstLine="542" w:firstLineChars="225"/>
        <w:rPr>
          <w:rFonts w:hint="eastAsia" w:ascii="仿宋" w:hAnsi="仿宋" w:eastAsia="仿宋"/>
          <w:b/>
          <w:bCs/>
          <w:color w:val="auto"/>
          <w:sz w:val="24"/>
        </w:rPr>
      </w:pPr>
      <w:r>
        <w:rPr>
          <w:rFonts w:hint="default" w:ascii="仿宋" w:hAnsi="仿宋" w:eastAsia="仿宋"/>
          <w:b/>
          <w:bCs/>
          <w:color w:val="auto"/>
          <w:sz w:val="24"/>
          <w:lang w:val="en-US" w:eastAsia="zh-CN"/>
        </w:rPr>
        <w:t>三、</w:t>
      </w:r>
      <w:r>
        <w:rPr>
          <w:rFonts w:hint="eastAsia" w:ascii="仿宋" w:hAnsi="仿宋" w:eastAsia="仿宋"/>
          <w:b/>
          <w:bCs/>
          <w:color w:val="auto"/>
          <w:sz w:val="24"/>
        </w:rPr>
        <w:t>招标时间及要求：</w:t>
      </w:r>
    </w:p>
    <w:p w14:paraId="56FCC986">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1、报名截止日期：20</w:t>
      </w:r>
      <w:r>
        <w:rPr>
          <w:rFonts w:hint="eastAsia" w:ascii="仿宋" w:hAnsi="仿宋" w:eastAsia="仿宋"/>
          <w:color w:val="auto"/>
          <w:sz w:val="24"/>
          <w:lang w:val="en-US" w:eastAsia="zh-CN"/>
        </w:rPr>
        <w:t>25</w:t>
      </w:r>
      <w:r>
        <w:rPr>
          <w:rFonts w:hint="eastAsia" w:ascii="仿宋" w:hAnsi="仿宋" w:eastAsia="仿宋"/>
          <w:color w:val="auto"/>
          <w:sz w:val="24"/>
        </w:rPr>
        <w:t>年</w:t>
      </w:r>
      <w:r>
        <w:rPr>
          <w:rFonts w:hint="eastAsia" w:ascii="仿宋" w:hAnsi="仿宋" w:eastAsia="仿宋"/>
          <w:color w:val="auto"/>
          <w:sz w:val="24"/>
          <w:lang w:val="en-US" w:eastAsia="zh-CN"/>
        </w:rPr>
        <w:t>8</w:t>
      </w:r>
      <w:r>
        <w:rPr>
          <w:rFonts w:hint="eastAsia" w:ascii="仿宋" w:hAnsi="仿宋" w:eastAsia="仿宋"/>
          <w:color w:val="auto"/>
          <w:sz w:val="24"/>
        </w:rPr>
        <w:t>月</w:t>
      </w:r>
      <w:r>
        <w:rPr>
          <w:rFonts w:hint="eastAsia" w:ascii="仿宋" w:hAnsi="仿宋" w:eastAsia="仿宋"/>
          <w:color w:val="auto"/>
          <w:sz w:val="24"/>
          <w:lang w:val="en-US" w:eastAsia="zh-CN"/>
        </w:rPr>
        <w:t>19</w:t>
      </w:r>
      <w:r>
        <w:rPr>
          <w:rFonts w:hint="eastAsia" w:ascii="仿宋" w:hAnsi="仿宋" w:eastAsia="仿宋"/>
          <w:color w:val="auto"/>
          <w:sz w:val="24"/>
        </w:rPr>
        <w:t>日</w:t>
      </w:r>
      <w:r>
        <w:rPr>
          <w:rFonts w:hint="eastAsia" w:ascii="仿宋" w:hAnsi="仿宋" w:eastAsia="仿宋"/>
          <w:color w:val="auto"/>
          <w:sz w:val="24"/>
          <w:lang w:val="en-US" w:eastAsia="zh-CN"/>
        </w:rPr>
        <w:t>18:00</w:t>
      </w:r>
      <w:r>
        <w:rPr>
          <w:rFonts w:hint="eastAsia" w:ascii="仿宋" w:hAnsi="仿宋" w:eastAsia="仿宋"/>
          <w:color w:val="auto"/>
          <w:sz w:val="24"/>
        </w:rPr>
        <w:t xml:space="preserve"> 时前；</w:t>
      </w:r>
    </w:p>
    <w:p w14:paraId="76B9A552">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2、开标时间：</w:t>
      </w:r>
      <w:r>
        <w:rPr>
          <w:rFonts w:hint="eastAsia" w:ascii="仿宋" w:hAnsi="仿宋" w:eastAsia="仿宋"/>
          <w:color w:val="auto"/>
          <w:sz w:val="24"/>
          <w:highlight w:val="yellow"/>
        </w:rPr>
        <w:t>20</w:t>
      </w:r>
      <w:r>
        <w:rPr>
          <w:rFonts w:hint="eastAsia" w:ascii="仿宋" w:hAnsi="仿宋" w:eastAsia="仿宋"/>
          <w:color w:val="auto"/>
          <w:sz w:val="24"/>
          <w:highlight w:val="yellow"/>
          <w:lang w:val="en-US" w:eastAsia="zh-CN"/>
        </w:rPr>
        <w:t>25</w:t>
      </w:r>
      <w:r>
        <w:rPr>
          <w:rFonts w:hint="eastAsia" w:ascii="仿宋" w:hAnsi="仿宋" w:eastAsia="仿宋"/>
          <w:color w:val="auto"/>
          <w:sz w:val="24"/>
          <w:highlight w:val="yellow"/>
        </w:rPr>
        <w:t>年</w:t>
      </w:r>
      <w:r>
        <w:rPr>
          <w:rFonts w:hint="eastAsia" w:ascii="仿宋" w:hAnsi="仿宋" w:eastAsia="仿宋"/>
          <w:color w:val="auto"/>
          <w:sz w:val="24"/>
          <w:highlight w:val="yellow"/>
          <w:lang w:val="en-US" w:eastAsia="zh-CN"/>
        </w:rPr>
        <w:t>8</w:t>
      </w:r>
      <w:r>
        <w:rPr>
          <w:rFonts w:hint="eastAsia" w:ascii="仿宋" w:hAnsi="仿宋" w:eastAsia="仿宋"/>
          <w:color w:val="auto"/>
          <w:sz w:val="24"/>
          <w:highlight w:val="yellow"/>
        </w:rPr>
        <w:t>月</w:t>
      </w:r>
      <w:r>
        <w:rPr>
          <w:rFonts w:hint="eastAsia" w:ascii="仿宋" w:hAnsi="仿宋" w:eastAsia="仿宋"/>
          <w:color w:val="auto"/>
          <w:sz w:val="24"/>
          <w:highlight w:val="yellow"/>
          <w:lang w:val="en-US" w:eastAsia="zh-CN"/>
        </w:rPr>
        <w:t>20</w:t>
      </w:r>
      <w:r>
        <w:rPr>
          <w:rFonts w:hint="eastAsia" w:ascii="仿宋" w:hAnsi="仿宋" w:eastAsia="仿宋"/>
          <w:color w:val="auto"/>
          <w:sz w:val="24"/>
          <w:highlight w:val="yellow"/>
        </w:rPr>
        <w:t xml:space="preserve">日 </w:t>
      </w:r>
      <w:r>
        <w:rPr>
          <w:rFonts w:hint="eastAsia" w:ascii="仿宋" w:hAnsi="仿宋" w:eastAsia="仿宋"/>
          <w:color w:val="auto"/>
          <w:sz w:val="24"/>
          <w:highlight w:val="yellow"/>
          <w:lang w:val="en-US" w:eastAsia="zh-CN"/>
        </w:rPr>
        <w:t>09:00</w:t>
      </w:r>
      <w:r>
        <w:rPr>
          <w:rFonts w:hint="eastAsia" w:ascii="仿宋" w:hAnsi="仿宋" w:eastAsia="仿宋"/>
          <w:color w:val="auto"/>
          <w:sz w:val="24"/>
          <w:highlight w:val="yellow"/>
        </w:rPr>
        <w:t xml:space="preserve"> 时</w:t>
      </w:r>
      <w:r>
        <w:rPr>
          <w:rFonts w:hint="eastAsia" w:ascii="仿宋" w:hAnsi="仿宋" w:eastAsia="仿宋"/>
          <w:color w:val="auto"/>
          <w:sz w:val="24"/>
        </w:rPr>
        <w:t>（若有变化提前两天另行通知）；</w:t>
      </w:r>
    </w:p>
    <w:p w14:paraId="7DFD83F0">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3、投标和报价书一正二副，由投标人授权代表签字盖章；</w:t>
      </w:r>
    </w:p>
    <w:p w14:paraId="05993155">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4、投标人应按照附件报价书格式填报价格表；</w:t>
      </w:r>
    </w:p>
    <w:p w14:paraId="5DC142C4">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lang w:val="en-US" w:eastAsia="zh-CN"/>
        </w:rPr>
        <w:t>5</w:t>
      </w:r>
      <w:r>
        <w:rPr>
          <w:rFonts w:hint="eastAsia" w:ascii="仿宋" w:hAnsi="仿宋" w:eastAsia="仿宋"/>
          <w:color w:val="auto"/>
          <w:sz w:val="24"/>
        </w:rPr>
        <w:t>、投标有效期：</w:t>
      </w:r>
      <w:r>
        <w:rPr>
          <w:rFonts w:hint="eastAsia" w:ascii="仿宋" w:hAnsi="仿宋" w:eastAsia="仿宋"/>
          <w:color w:val="auto"/>
          <w:sz w:val="24"/>
          <w:lang w:val="en-US" w:eastAsia="zh-CN"/>
        </w:rPr>
        <w:t>中标通知书发布之日前</w:t>
      </w:r>
      <w:r>
        <w:rPr>
          <w:rFonts w:hint="eastAsia" w:ascii="仿宋" w:hAnsi="仿宋" w:eastAsia="仿宋"/>
          <w:color w:val="auto"/>
          <w:sz w:val="24"/>
        </w:rPr>
        <w:t>；</w:t>
      </w:r>
    </w:p>
    <w:p w14:paraId="3DBEE64C">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lang w:val="en-US" w:eastAsia="zh-CN"/>
        </w:rPr>
        <w:t>6</w:t>
      </w:r>
      <w:r>
        <w:rPr>
          <w:rFonts w:hint="eastAsia" w:ascii="仿宋" w:hAnsi="仿宋" w:eastAsia="仿宋"/>
          <w:color w:val="auto"/>
          <w:sz w:val="24"/>
        </w:rPr>
        <w:t>、合同有效期：</w:t>
      </w:r>
      <w:r>
        <w:rPr>
          <w:rFonts w:hint="eastAsia" w:ascii="仿宋" w:hAnsi="仿宋" w:eastAsia="仿宋"/>
          <w:color w:val="auto"/>
          <w:sz w:val="24"/>
          <w:lang w:val="en-US" w:eastAsia="zh-CN"/>
        </w:rPr>
        <w:t>一</w:t>
      </w:r>
      <w:r>
        <w:rPr>
          <w:rFonts w:hint="eastAsia" w:ascii="仿宋" w:hAnsi="仿宋" w:eastAsia="仿宋"/>
          <w:color w:val="auto"/>
          <w:sz w:val="24"/>
        </w:rPr>
        <w:t>年；</w:t>
      </w:r>
    </w:p>
    <w:p w14:paraId="29FE41DD">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lang w:val="en-US" w:eastAsia="zh-CN"/>
        </w:rPr>
        <w:t>7</w:t>
      </w:r>
      <w:r>
        <w:rPr>
          <w:rFonts w:hint="eastAsia" w:ascii="仿宋" w:hAnsi="仿宋" w:eastAsia="仿宋"/>
          <w:color w:val="auto"/>
          <w:sz w:val="24"/>
        </w:rPr>
        <w:t>、报名地点：</w:t>
      </w:r>
    </w:p>
    <w:p w14:paraId="1E9AE5F3">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甘肃传祁</w:t>
      </w:r>
      <w:r>
        <w:rPr>
          <w:rFonts w:hint="eastAsia" w:ascii="仿宋" w:hAnsi="仿宋" w:eastAsia="仿宋"/>
          <w:color w:val="auto"/>
          <w:sz w:val="24"/>
          <w:lang w:val="en-US" w:eastAsia="zh-CN"/>
        </w:rPr>
        <w:t>甘味</w:t>
      </w:r>
      <w:r>
        <w:rPr>
          <w:rFonts w:hint="eastAsia" w:ascii="仿宋" w:hAnsi="仿宋" w:eastAsia="仿宋"/>
          <w:color w:val="auto"/>
          <w:sz w:val="24"/>
        </w:rPr>
        <w:t>乳业有限</w:t>
      </w:r>
      <w:r>
        <w:rPr>
          <w:rFonts w:hint="eastAsia" w:ascii="仿宋" w:hAnsi="仿宋" w:eastAsia="仿宋"/>
          <w:color w:val="auto"/>
          <w:sz w:val="24"/>
          <w:lang w:val="en-US" w:eastAsia="zh-CN"/>
        </w:rPr>
        <w:t>责任</w:t>
      </w:r>
      <w:r>
        <w:rPr>
          <w:rFonts w:hint="eastAsia" w:ascii="仿宋" w:hAnsi="仿宋" w:eastAsia="仿宋"/>
          <w:color w:val="auto"/>
          <w:sz w:val="24"/>
        </w:rPr>
        <w:t>公司</w:t>
      </w:r>
      <w:r>
        <w:rPr>
          <w:rFonts w:hint="eastAsia" w:ascii="仿宋" w:hAnsi="仿宋" w:eastAsia="仿宋"/>
          <w:color w:val="auto"/>
          <w:sz w:val="24"/>
          <w:lang w:eastAsia="zh-CN"/>
        </w:rPr>
        <w:t>（甘肃省兰州市兰州新区石羊河街1188号）</w:t>
      </w:r>
    </w:p>
    <w:p w14:paraId="6CF61862">
      <w:pPr>
        <w:spacing w:line="360" w:lineRule="auto"/>
        <w:ind w:firstLine="540" w:firstLineChars="225"/>
        <w:rPr>
          <w:rFonts w:hint="default" w:ascii="仿宋" w:hAnsi="仿宋" w:eastAsia="仿宋"/>
          <w:color w:val="auto"/>
          <w:sz w:val="24"/>
          <w:lang w:val="en-US" w:eastAsia="zh-CN"/>
        </w:rPr>
      </w:pPr>
      <w:r>
        <w:rPr>
          <w:rFonts w:hint="eastAsia" w:ascii="仿宋" w:hAnsi="仿宋" w:eastAsia="仿宋"/>
          <w:color w:val="auto"/>
          <w:sz w:val="24"/>
        </w:rPr>
        <w:t>联 系 人：</w:t>
      </w:r>
      <w:r>
        <w:rPr>
          <w:rFonts w:hint="eastAsia" w:ascii="仿宋" w:hAnsi="仿宋" w:eastAsia="仿宋"/>
          <w:color w:val="auto"/>
          <w:sz w:val="24"/>
          <w:lang w:val="en-US" w:eastAsia="zh-CN"/>
        </w:rPr>
        <w:t xml:space="preserve">李倩              </w:t>
      </w:r>
      <w:bookmarkStart w:id="1" w:name="OLE_LINK3"/>
      <w:r>
        <w:rPr>
          <w:rFonts w:hint="eastAsia" w:ascii="仿宋" w:hAnsi="仿宋" w:eastAsia="仿宋"/>
          <w:color w:val="auto"/>
          <w:sz w:val="24"/>
          <w:lang w:val="en-US" w:eastAsia="zh-CN"/>
        </w:rPr>
        <w:t xml:space="preserve"> 联系人：卢伟           联系人：石磊</w:t>
      </w:r>
    </w:p>
    <w:p w14:paraId="1174CF2E">
      <w:pPr>
        <w:spacing w:line="360" w:lineRule="auto"/>
        <w:ind w:firstLine="540" w:firstLineChars="225"/>
        <w:rPr>
          <w:rFonts w:hint="default" w:ascii="仿宋" w:hAnsi="仿宋" w:eastAsia="仿宋"/>
          <w:color w:val="auto"/>
          <w:sz w:val="24"/>
          <w:lang w:val="en-US" w:eastAsia="zh-CN"/>
        </w:rPr>
      </w:pPr>
      <w:r>
        <w:rPr>
          <w:rFonts w:hint="eastAsia" w:ascii="仿宋" w:hAnsi="仿宋" w:eastAsia="仿宋"/>
          <w:color w:val="auto"/>
          <w:sz w:val="24"/>
        </w:rPr>
        <w:t>电    话：</w:t>
      </w:r>
      <w:r>
        <w:rPr>
          <w:rFonts w:hint="eastAsia" w:ascii="仿宋" w:hAnsi="仿宋" w:eastAsia="仿宋"/>
          <w:color w:val="auto"/>
          <w:sz w:val="24"/>
          <w:lang w:val="en-US" w:eastAsia="zh-CN"/>
        </w:rPr>
        <w:t>13519364580</w:t>
      </w:r>
      <w:r>
        <w:rPr>
          <w:rFonts w:hint="eastAsia" w:ascii="仿宋" w:hAnsi="仿宋" w:eastAsia="仿宋"/>
          <w:color w:val="auto"/>
          <w:sz w:val="24"/>
        </w:rPr>
        <w:t xml:space="preserve">  </w:t>
      </w:r>
      <w:r>
        <w:rPr>
          <w:rFonts w:hint="eastAsia" w:ascii="仿宋" w:hAnsi="仿宋" w:eastAsia="仿宋"/>
          <w:color w:val="auto"/>
          <w:sz w:val="24"/>
          <w:lang w:val="en-US" w:eastAsia="zh-CN"/>
        </w:rPr>
        <w:t xml:space="preserve">      电  话：13519066611    电  话：15612450325</w:t>
      </w:r>
    </w:p>
    <w:bookmarkEnd w:id="1"/>
    <w:p w14:paraId="692B35F2">
      <w:pPr>
        <w:spacing w:line="360" w:lineRule="auto"/>
        <w:ind w:firstLine="480" w:firstLineChars="200"/>
        <w:rPr>
          <w:rFonts w:hint="eastAsia" w:ascii="仿宋" w:hAnsi="仿宋" w:eastAsia="仿宋"/>
          <w:color w:val="auto"/>
          <w:sz w:val="24"/>
          <w:lang w:val="en-US" w:eastAsia="zh-CN"/>
        </w:rPr>
      </w:pPr>
      <w:r>
        <w:rPr>
          <w:rFonts w:hint="eastAsia" w:ascii="仿宋" w:hAnsi="仿宋" w:eastAsia="仿宋"/>
          <w:color w:val="auto"/>
          <w:sz w:val="24"/>
          <w:lang w:val="en-US" w:eastAsia="zh-CN"/>
        </w:rPr>
        <w:t xml:space="preserve"> 8、开标地点：</w:t>
      </w:r>
    </w:p>
    <w:p w14:paraId="765C17CB">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lang w:val="en-US" w:eastAsia="zh-CN"/>
        </w:rPr>
        <w:t xml:space="preserve">    </w:t>
      </w:r>
      <w:bookmarkStart w:id="2" w:name="OLE_LINK4"/>
      <w:r>
        <w:rPr>
          <w:rFonts w:hint="eastAsia" w:ascii="仿宋" w:hAnsi="仿宋" w:eastAsia="仿宋"/>
          <w:color w:val="auto"/>
          <w:sz w:val="24"/>
          <w:lang w:val="en-US" w:eastAsia="zh-CN"/>
        </w:rPr>
        <w:t xml:space="preserve"> </w:t>
      </w:r>
      <w:r>
        <w:rPr>
          <w:rFonts w:hint="eastAsia" w:ascii="仿宋" w:hAnsi="仿宋" w:eastAsia="仿宋"/>
          <w:color w:val="auto"/>
          <w:sz w:val="24"/>
          <w:highlight w:val="yellow"/>
        </w:rPr>
        <w:t>甘肃传祁</w:t>
      </w:r>
      <w:r>
        <w:rPr>
          <w:rFonts w:hint="eastAsia" w:ascii="仿宋" w:hAnsi="仿宋" w:eastAsia="仿宋"/>
          <w:color w:val="auto"/>
          <w:sz w:val="24"/>
          <w:highlight w:val="yellow"/>
          <w:lang w:val="en-US" w:eastAsia="zh-CN"/>
        </w:rPr>
        <w:t>甘味</w:t>
      </w:r>
      <w:r>
        <w:rPr>
          <w:rFonts w:hint="eastAsia" w:ascii="仿宋" w:hAnsi="仿宋" w:eastAsia="仿宋"/>
          <w:color w:val="auto"/>
          <w:sz w:val="24"/>
          <w:highlight w:val="yellow"/>
        </w:rPr>
        <w:t>乳业有限</w:t>
      </w:r>
      <w:r>
        <w:rPr>
          <w:rFonts w:hint="eastAsia" w:ascii="仿宋" w:hAnsi="仿宋" w:eastAsia="仿宋"/>
          <w:color w:val="auto"/>
          <w:sz w:val="24"/>
          <w:highlight w:val="yellow"/>
          <w:lang w:val="en-US" w:eastAsia="zh-CN"/>
        </w:rPr>
        <w:t>责任</w:t>
      </w:r>
      <w:r>
        <w:rPr>
          <w:rFonts w:hint="eastAsia" w:ascii="仿宋" w:hAnsi="仿宋" w:eastAsia="仿宋"/>
          <w:color w:val="auto"/>
          <w:sz w:val="24"/>
          <w:highlight w:val="yellow"/>
        </w:rPr>
        <w:t>公司</w:t>
      </w:r>
      <w:bookmarkEnd w:id="2"/>
      <w:r>
        <w:rPr>
          <w:rFonts w:hint="eastAsia" w:ascii="仿宋" w:hAnsi="仿宋" w:eastAsia="仿宋"/>
          <w:color w:val="auto"/>
          <w:sz w:val="24"/>
          <w:highlight w:val="yellow"/>
          <w:lang w:eastAsia="zh-CN"/>
        </w:rPr>
        <w:t>（甘肃省兰州市兰州新区石羊河街1188号）</w:t>
      </w:r>
    </w:p>
    <w:p w14:paraId="39E9D8E1">
      <w:pPr>
        <w:spacing w:line="360" w:lineRule="auto"/>
        <w:ind w:firstLine="540" w:firstLineChars="225"/>
        <w:rPr>
          <w:rFonts w:hint="default" w:ascii="仿宋" w:hAnsi="仿宋" w:eastAsia="仿宋"/>
          <w:color w:val="auto"/>
          <w:sz w:val="24"/>
          <w:lang w:val="en-US" w:eastAsia="zh-CN"/>
        </w:rPr>
      </w:pPr>
      <w:r>
        <w:rPr>
          <w:rFonts w:hint="eastAsia" w:ascii="仿宋" w:hAnsi="仿宋" w:eastAsia="仿宋"/>
          <w:color w:val="auto"/>
          <w:sz w:val="24"/>
        </w:rPr>
        <w:t>联 系 人：</w:t>
      </w:r>
      <w:r>
        <w:rPr>
          <w:rFonts w:hint="eastAsia" w:ascii="仿宋" w:hAnsi="仿宋" w:eastAsia="仿宋"/>
          <w:color w:val="auto"/>
          <w:sz w:val="24"/>
          <w:lang w:val="en-US" w:eastAsia="zh-CN"/>
        </w:rPr>
        <w:t>李倩                 联系人：卢伟           联系人：石磊</w:t>
      </w:r>
    </w:p>
    <w:p w14:paraId="029BEA09">
      <w:pPr>
        <w:spacing w:line="360" w:lineRule="auto"/>
        <w:ind w:firstLine="540" w:firstLineChars="225"/>
        <w:rPr>
          <w:rFonts w:hint="default" w:ascii="仿宋" w:hAnsi="仿宋" w:eastAsia="仿宋"/>
          <w:color w:val="auto"/>
          <w:sz w:val="24"/>
          <w:lang w:val="en-US" w:eastAsia="zh-CN"/>
        </w:rPr>
      </w:pPr>
      <w:r>
        <w:rPr>
          <w:rFonts w:hint="eastAsia" w:ascii="仿宋" w:hAnsi="仿宋" w:eastAsia="仿宋"/>
          <w:color w:val="auto"/>
          <w:sz w:val="24"/>
        </w:rPr>
        <w:t>电    话：</w:t>
      </w:r>
      <w:r>
        <w:rPr>
          <w:rFonts w:hint="eastAsia" w:ascii="仿宋" w:hAnsi="仿宋" w:eastAsia="仿宋"/>
          <w:color w:val="auto"/>
          <w:sz w:val="24"/>
          <w:lang w:val="en-US" w:eastAsia="zh-CN"/>
        </w:rPr>
        <w:t>13519364580</w:t>
      </w:r>
      <w:r>
        <w:rPr>
          <w:rFonts w:hint="eastAsia" w:ascii="仿宋" w:hAnsi="仿宋" w:eastAsia="仿宋"/>
          <w:color w:val="auto"/>
          <w:sz w:val="24"/>
        </w:rPr>
        <w:t xml:space="preserve">  </w:t>
      </w:r>
      <w:r>
        <w:rPr>
          <w:rFonts w:hint="eastAsia" w:ascii="仿宋" w:hAnsi="仿宋" w:eastAsia="仿宋"/>
          <w:color w:val="auto"/>
          <w:sz w:val="24"/>
          <w:lang w:val="en-US" w:eastAsia="zh-CN"/>
        </w:rPr>
        <w:t xml:space="preserve">      电  话：13519066611    电  话：15612450325</w:t>
      </w:r>
    </w:p>
    <w:p w14:paraId="5888A463">
      <w:pPr>
        <w:spacing w:line="360" w:lineRule="auto"/>
        <w:ind w:firstLine="723" w:firstLineChars="300"/>
        <w:rPr>
          <w:rFonts w:hint="eastAsia" w:ascii="仿宋" w:hAnsi="仿宋" w:eastAsia="仿宋"/>
          <w:b/>
          <w:bCs/>
          <w:color w:val="auto"/>
          <w:sz w:val="24"/>
          <w:lang w:val="en-US" w:eastAsia="zh-CN"/>
        </w:rPr>
      </w:pPr>
      <w:r>
        <w:rPr>
          <w:rFonts w:hint="default" w:ascii="仿宋" w:hAnsi="仿宋" w:eastAsia="仿宋"/>
          <w:b/>
          <w:bCs/>
          <w:color w:val="auto"/>
          <w:sz w:val="24"/>
          <w:lang w:val="en-US" w:eastAsia="zh-CN"/>
        </w:rPr>
        <w:t>四、</w:t>
      </w:r>
      <w:r>
        <w:rPr>
          <w:rFonts w:hint="eastAsia" w:ascii="仿宋" w:hAnsi="仿宋" w:eastAsia="仿宋"/>
          <w:b/>
          <w:bCs/>
          <w:color w:val="auto"/>
          <w:sz w:val="24"/>
          <w:lang w:val="en-US" w:eastAsia="zh-CN"/>
        </w:rPr>
        <w:t>投标人资格要求：</w:t>
      </w:r>
    </w:p>
    <w:p w14:paraId="2A71BB08">
      <w:pPr>
        <w:spacing w:line="360" w:lineRule="auto"/>
        <w:ind w:firstLine="540" w:firstLineChars="225"/>
        <w:rPr>
          <w:rFonts w:hint="eastAsia" w:ascii="仿宋" w:hAnsi="仿宋" w:eastAsia="仿宋"/>
          <w:color w:val="auto"/>
          <w:sz w:val="24"/>
          <w:lang w:val="en-US" w:eastAsia="zh-CN"/>
        </w:rPr>
      </w:pPr>
      <w:r>
        <w:rPr>
          <w:rFonts w:hint="eastAsia" w:ascii="仿宋" w:hAnsi="仿宋" w:eastAsia="仿宋"/>
          <w:color w:val="auto"/>
          <w:sz w:val="24"/>
          <w:lang w:val="en-US" w:eastAsia="zh-CN"/>
        </w:rPr>
        <w:t>1.满足《中华人民共和国政府采购法》第二十二条的规定；</w:t>
      </w:r>
    </w:p>
    <w:p w14:paraId="630B9434">
      <w:pPr>
        <w:spacing w:line="360" w:lineRule="auto"/>
        <w:ind w:firstLine="540" w:firstLineChars="225"/>
        <w:rPr>
          <w:rFonts w:hint="eastAsia" w:ascii="仿宋" w:hAnsi="仿宋" w:eastAsia="仿宋"/>
          <w:color w:val="auto"/>
          <w:sz w:val="24"/>
          <w:lang w:val="en-US" w:eastAsia="zh-CN"/>
        </w:rPr>
      </w:pPr>
      <w:r>
        <w:rPr>
          <w:rFonts w:hint="eastAsia" w:ascii="仿宋" w:hAnsi="仿宋" w:eastAsia="仿宋"/>
          <w:color w:val="auto"/>
          <w:sz w:val="24"/>
          <w:lang w:val="en-US" w:eastAsia="zh-CN"/>
        </w:rPr>
        <w:t>2.本项目的特定资格要求：</w:t>
      </w:r>
    </w:p>
    <w:p w14:paraId="06624834">
      <w:pPr>
        <w:spacing w:line="360" w:lineRule="auto"/>
        <w:ind w:firstLine="540" w:firstLineChars="225"/>
        <w:rPr>
          <w:rFonts w:hint="eastAsia" w:ascii="仿宋" w:hAnsi="仿宋" w:eastAsia="仿宋"/>
          <w:color w:val="auto"/>
          <w:sz w:val="24"/>
          <w:lang w:val="en-US" w:eastAsia="zh-CN"/>
        </w:rPr>
      </w:pPr>
      <w:r>
        <w:rPr>
          <w:rFonts w:hint="eastAsia" w:ascii="仿宋" w:hAnsi="仿宋" w:eastAsia="仿宋"/>
          <w:color w:val="auto"/>
          <w:sz w:val="24"/>
          <w:lang w:val="en-US" w:eastAsia="zh-CN"/>
        </w:rPr>
        <w:t xml:space="preserve">（1）供应商须为未被列入“信用中国”网（ </w:t>
      </w:r>
      <w:r>
        <w:rPr>
          <w:rFonts w:hint="eastAsia" w:ascii="仿宋" w:hAnsi="仿宋" w:eastAsia="仿宋"/>
          <w:color w:val="auto"/>
          <w:sz w:val="24"/>
          <w:lang w:val="en-US" w:eastAsia="zh-CN"/>
        </w:rPr>
        <w:fldChar w:fldCharType="begin"/>
      </w:r>
      <w:r>
        <w:rPr>
          <w:rFonts w:hint="eastAsia" w:ascii="仿宋" w:hAnsi="仿宋" w:eastAsia="仿宋"/>
          <w:color w:val="auto"/>
          <w:sz w:val="24"/>
          <w:lang w:val="en-US" w:eastAsia="zh-CN"/>
        </w:rPr>
        <w:instrText xml:space="preserve"> HYPERLINK "http://www.creditchina.gov.cn）" </w:instrText>
      </w:r>
      <w:r>
        <w:rPr>
          <w:rFonts w:hint="eastAsia" w:ascii="仿宋" w:hAnsi="仿宋" w:eastAsia="仿宋"/>
          <w:color w:val="auto"/>
          <w:sz w:val="24"/>
          <w:lang w:val="en-US" w:eastAsia="zh-CN"/>
        </w:rPr>
        <w:fldChar w:fldCharType="separate"/>
      </w:r>
      <w:r>
        <w:rPr>
          <w:rFonts w:hint="eastAsia" w:ascii="仿宋" w:hAnsi="仿宋" w:eastAsia="仿宋"/>
          <w:color w:val="auto"/>
          <w:sz w:val="24"/>
          <w:lang w:val="en-US" w:eastAsia="zh-CN"/>
        </w:rPr>
        <w:t>www.creditchina.gov.cn）</w:t>
      </w:r>
      <w:r>
        <w:rPr>
          <w:rFonts w:hint="eastAsia" w:ascii="仿宋" w:hAnsi="仿宋" w:eastAsia="仿宋"/>
          <w:color w:val="auto"/>
          <w:sz w:val="24"/>
          <w:lang w:val="en-US" w:eastAsia="zh-CN"/>
        </w:rPr>
        <w:fldChar w:fldCharType="end"/>
      </w:r>
      <w:r>
        <w:rPr>
          <w:rFonts w:hint="eastAsia" w:ascii="仿宋" w:hAnsi="仿宋" w:eastAsia="仿宋"/>
          <w:color w:val="auto"/>
          <w:sz w:val="24"/>
          <w:lang w:val="en-US" w:eastAsia="zh-CN"/>
        </w:rPr>
        <w:t xml:space="preserve">记录失信被执行人或重大税收违法案件当事人名单或政府采购严重违法失信行为”记录名单；不处于中国政府采购网（ </w:t>
      </w:r>
      <w:r>
        <w:rPr>
          <w:rFonts w:hint="eastAsia" w:ascii="仿宋" w:hAnsi="仿宋" w:eastAsia="仿宋"/>
          <w:color w:val="auto"/>
          <w:sz w:val="24"/>
          <w:lang w:val="en-US" w:eastAsia="zh-CN"/>
        </w:rPr>
        <w:fldChar w:fldCharType="begin"/>
      </w:r>
      <w:r>
        <w:rPr>
          <w:rFonts w:hint="eastAsia" w:ascii="仿宋" w:hAnsi="仿宋" w:eastAsia="仿宋"/>
          <w:color w:val="auto"/>
          <w:sz w:val="24"/>
          <w:lang w:val="en-US" w:eastAsia="zh-CN"/>
        </w:rPr>
        <w:instrText xml:space="preserve"> HYPERLINK "http://www.ccgp." </w:instrText>
      </w:r>
      <w:r>
        <w:rPr>
          <w:rFonts w:hint="eastAsia" w:ascii="仿宋" w:hAnsi="仿宋" w:eastAsia="仿宋"/>
          <w:color w:val="auto"/>
          <w:sz w:val="24"/>
          <w:lang w:val="en-US" w:eastAsia="zh-CN"/>
        </w:rPr>
        <w:fldChar w:fldCharType="separate"/>
      </w:r>
      <w:r>
        <w:rPr>
          <w:rFonts w:hint="eastAsia" w:ascii="仿宋" w:hAnsi="仿宋" w:eastAsia="仿宋"/>
          <w:color w:val="auto"/>
          <w:sz w:val="24"/>
          <w:lang w:val="en-US" w:eastAsia="zh-CN"/>
        </w:rPr>
        <w:t>www.ccgp.</w:t>
      </w:r>
      <w:r>
        <w:rPr>
          <w:rFonts w:hint="eastAsia" w:ascii="仿宋" w:hAnsi="仿宋" w:eastAsia="仿宋"/>
          <w:color w:val="auto"/>
          <w:sz w:val="24"/>
          <w:lang w:val="en-US" w:eastAsia="zh-CN"/>
        </w:rPr>
        <w:fldChar w:fldCharType="end"/>
      </w:r>
      <w:r>
        <w:rPr>
          <w:rFonts w:hint="eastAsia" w:ascii="仿宋" w:hAnsi="仿宋" w:eastAsia="仿宋"/>
          <w:color w:val="auto"/>
          <w:sz w:val="24"/>
          <w:lang w:val="en-US" w:eastAsia="zh-CN"/>
        </w:rPr>
        <w:t xml:space="preserve">gov.cn）政府采购严重违法失信行为信息记录”中的禁止参加政府采购活动期间；未被列入“信用甘肃”网站（ </w:t>
      </w:r>
      <w:r>
        <w:rPr>
          <w:rFonts w:hint="eastAsia" w:ascii="仿宋" w:hAnsi="仿宋" w:eastAsia="仿宋"/>
          <w:color w:val="auto"/>
          <w:sz w:val="24"/>
          <w:lang w:val="en-US" w:eastAsia="zh-CN"/>
        </w:rPr>
        <w:fldChar w:fldCharType="begin"/>
      </w:r>
      <w:r>
        <w:rPr>
          <w:rFonts w:hint="eastAsia" w:ascii="仿宋" w:hAnsi="仿宋" w:eastAsia="仿宋"/>
          <w:color w:val="auto"/>
          <w:sz w:val="24"/>
          <w:lang w:val="en-US" w:eastAsia="zh-CN"/>
        </w:rPr>
        <w:instrText xml:space="preserve"> HYPERLINK "http://www.gscredit.gov.cn）记录失信被执行人或财政性资金管理使用领域相关失信责任主体、统计领域严重失信企业及其有关人员等的方可参加本项目的投标。" </w:instrText>
      </w:r>
      <w:r>
        <w:rPr>
          <w:rFonts w:hint="eastAsia" w:ascii="仿宋" w:hAnsi="仿宋" w:eastAsia="仿宋"/>
          <w:color w:val="auto"/>
          <w:sz w:val="24"/>
          <w:lang w:val="en-US" w:eastAsia="zh-CN"/>
        </w:rPr>
        <w:fldChar w:fldCharType="separate"/>
      </w:r>
      <w:r>
        <w:rPr>
          <w:rFonts w:hint="eastAsia" w:ascii="仿宋" w:hAnsi="仿宋" w:eastAsia="仿宋"/>
          <w:color w:val="auto"/>
          <w:sz w:val="24"/>
          <w:lang w:val="en-US" w:eastAsia="zh-CN"/>
        </w:rPr>
        <w:t>www.gscredit.gov.cn）记录失信被执行人或财政性资金管理使用领域相关失信责任主体、统计领域严重失信企业及其有关人员等的方可参加本项目的投标。</w:t>
      </w:r>
      <w:r>
        <w:rPr>
          <w:rFonts w:hint="eastAsia" w:ascii="仿宋" w:hAnsi="仿宋" w:eastAsia="仿宋"/>
          <w:color w:val="auto"/>
          <w:sz w:val="24"/>
          <w:lang w:val="en-US" w:eastAsia="zh-CN"/>
        </w:rPr>
        <w:fldChar w:fldCharType="end"/>
      </w:r>
    </w:p>
    <w:p w14:paraId="6E24A066">
      <w:pPr>
        <w:spacing w:line="360" w:lineRule="auto"/>
        <w:ind w:firstLine="540" w:firstLineChars="225"/>
        <w:rPr>
          <w:rFonts w:hint="eastAsia" w:ascii="仿宋" w:hAnsi="仿宋" w:eastAsia="仿宋"/>
          <w:color w:val="auto"/>
          <w:sz w:val="24"/>
          <w:lang w:val="en-US" w:eastAsia="zh-CN"/>
        </w:rPr>
      </w:pPr>
      <w:r>
        <w:rPr>
          <w:rFonts w:hint="eastAsia" w:ascii="仿宋" w:hAnsi="仿宋" w:eastAsia="仿宋"/>
          <w:color w:val="auto"/>
          <w:sz w:val="24"/>
          <w:lang w:val="en-US" w:eastAsia="zh-CN"/>
        </w:rPr>
        <w:t>（2）投标人不得与采购人存在隶属关系或者其他利害关系。</w:t>
      </w:r>
    </w:p>
    <w:p w14:paraId="4B883A75">
      <w:pPr>
        <w:spacing w:line="360" w:lineRule="auto"/>
        <w:ind w:firstLine="540" w:firstLineChars="225"/>
        <w:rPr>
          <w:rFonts w:hint="eastAsia" w:ascii="仿宋" w:hAnsi="仿宋" w:eastAsia="仿宋"/>
          <w:color w:val="auto"/>
          <w:sz w:val="24"/>
          <w:lang w:val="en-US" w:eastAsia="zh-CN"/>
        </w:rPr>
      </w:pPr>
      <w:r>
        <w:rPr>
          <w:rFonts w:hint="eastAsia" w:ascii="仿宋" w:hAnsi="仿宋" w:eastAsia="仿宋"/>
          <w:color w:val="auto"/>
          <w:sz w:val="24"/>
          <w:lang w:val="en-US" w:eastAsia="zh-CN"/>
        </w:rPr>
        <w:t xml:space="preserve">（3）单位负责人为同一人或者存在直接控股、管理关系的不同投标人，不得参加同一合同下的采购活动； </w:t>
      </w:r>
    </w:p>
    <w:p w14:paraId="7DA4B7D6">
      <w:pPr>
        <w:spacing w:line="360" w:lineRule="auto"/>
        <w:ind w:firstLine="540" w:firstLineChars="225"/>
        <w:rPr>
          <w:rFonts w:hint="eastAsia" w:ascii="仿宋" w:hAnsi="仿宋" w:eastAsia="仿宋"/>
          <w:color w:val="auto"/>
          <w:sz w:val="24"/>
          <w:lang w:val="en-US" w:eastAsia="zh-CN"/>
        </w:rPr>
      </w:pPr>
      <w:r>
        <w:rPr>
          <w:rFonts w:hint="eastAsia" w:ascii="仿宋" w:hAnsi="仿宋" w:eastAsia="仿宋"/>
          <w:color w:val="auto"/>
          <w:sz w:val="24"/>
          <w:lang w:val="en-US" w:eastAsia="zh-CN"/>
        </w:rPr>
        <w:t>（4）营业执照三证合一、全国工业产品生产许可证/印刷经营许可证（牵扯有印刷产品的供应商提供）、型式检验报告等资质”。（提供原件或复印件加盖公章）；企业简介（企业规模、经营状况、行业地位、营销业绩、质量控制体系）；若法人代表不到投标现场，需出具法定代表人委托书（委托书内容包括但不限于：委托权限、公章、法定代表人身份证复印件及签章、被委托人身份证复印件）。</w:t>
      </w:r>
    </w:p>
    <w:p w14:paraId="082B2AD7">
      <w:pPr>
        <w:spacing w:line="360" w:lineRule="auto"/>
        <w:ind w:firstLine="540" w:firstLineChars="225"/>
        <w:rPr>
          <w:rFonts w:hint="eastAsia" w:ascii="仿宋" w:hAnsi="仿宋" w:eastAsia="仿宋"/>
          <w:color w:val="auto"/>
          <w:sz w:val="24"/>
          <w:lang w:val="en-US" w:eastAsia="zh-CN"/>
        </w:rPr>
      </w:pPr>
    </w:p>
    <w:p w14:paraId="5CA974BF">
      <w:pPr>
        <w:spacing w:line="360" w:lineRule="auto"/>
        <w:ind w:firstLine="542" w:firstLineChars="225"/>
        <w:rPr>
          <w:rFonts w:hint="eastAsia" w:ascii="仿宋" w:hAnsi="仿宋" w:eastAsia="仿宋"/>
          <w:b/>
          <w:bCs/>
          <w:color w:val="auto"/>
          <w:sz w:val="24"/>
        </w:rPr>
      </w:pPr>
      <w:r>
        <w:rPr>
          <w:rFonts w:hint="eastAsia" w:ascii="仿宋" w:hAnsi="仿宋" w:eastAsia="仿宋"/>
          <w:b/>
          <w:bCs/>
          <w:color w:val="auto"/>
          <w:sz w:val="24"/>
          <w:lang w:val="en-US" w:eastAsia="zh-CN"/>
        </w:rPr>
        <w:t>五</w:t>
      </w:r>
      <w:r>
        <w:rPr>
          <w:rFonts w:hint="eastAsia" w:ascii="仿宋" w:hAnsi="仿宋" w:eastAsia="仿宋"/>
          <w:b/>
          <w:bCs/>
          <w:color w:val="auto"/>
          <w:sz w:val="24"/>
        </w:rPr>
        <w:t>、投标文件要求：</w:t>
      </w:r>
    </w:p>
    <w:p w14:paraId="19C94409">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（一）</w:t>
      </w:r>
      <w:r>
        <w:rPr>
          <w:rFonts w:hint="eastAsia" w:ascii="仿宋" w:hAnsi="仿宋" w:eastAsia="仿宋"/>
          <w:color w:val="auto"/>
          <w:sz w:val="24"/>
          <w:lang w:val="en-US" w:eastAsia="zh-CN"/>
        </w:rPr>
        <w:t>现场审核</w:t>
      </w:r>
      <w:r>
        <w:rPr>
          <w:rFonts w:hint="eastAsia" w:ascii="仿宋" w:hAnsi="仿宋" w:eastAsia="仿宋"/>
          <w:color w:val="auto"/>
          <w:sz w:val="24"/>
        </w:rPr>
        <w:t>需携带资格证明文件（复印件）包括：</w:t>
      </w:r>
    </w:p>
    <w:p w14:paraId="612E65F8">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1、营业执照副本；</w:t>
      </w:r>
    </w:p>
    <w:p w14:paraId="7286790E">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2、生产许可证；</w:t>
      </w:r>
    </w:p>
    <w:p w14:paraId="3D66AFF6">
      <w:pPr>
        <w:spacing w:line="360" w:lineRule="auto"/>
        <w:ind w:firstLine="540" w:firstLineChars="225"/>
        <w:rPr>
          <w:rFonts w:hint="eastAsia" w:ascii="仿宋" w:hAnsi="仿宋" w:eastAsia="仿宋"/>
          <w:color w:val="auto"/>
          <w:sz w:val="24"/>
          <w:lang w:eastAsia="zh-CN"/>
        </w:rPr>
      </w:pPr>
      <w:r>
        <w:rPr>
          <w:rFonts w:hint="eastAsia" w:ascii="仿宋" w:hAnsi="仿宋" w:eastAsia="仿宋"/>
          <w:color w:val="auto"/>
          <w:sz w:val="24"/>
          <w:lang w:val="en-US" w:eastAsia="zh-CN"/>
        </w:rPr>
        <w:t>3、</w:t>
      </w:r>
      <w:r>
        <w:rPr>
          <w:rFonts w:hint="eastAsia" w:ascii="仿宋" w:hAnsi="仿宋" w:eastAsia="仿宋"/>
          <w:color w:val="auto"/>
          <w:sz w:val="24"/>
        </w:rPr>
        <w:t xml:space="preserve"> 开户银行许可证</w:t>
      </w:r>
      <w:r>
        <w:rPr>
          <w:rFonts w:hint="eastAsia" w:ascii="仿宋" w:hAnsi="仿宋" w:eastAsia="仿宋"/>
          <w:color w:val="auto"/>
          <w:sz w:val="24"/>
          <w:lang w:eastAsia="zh-CN"/>
        </w:rPr>
        <w:t>；</w:t>
      </w:r>
    </w:p>
    <w:p w14:paraId="3A4FB698">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lang w:val="en-US" w:eastAsia="zh-CN"/>
        </w:rPr>
        <w:t>4</w:t>
      </w:r>
      <w:r>
        <w:rPr>
          <w:rFonts w:hint="eastAsia" w:ascii="仿宋" w:hAnsi="仿宋" w:eastAsia="仿宋"/>
          <w:color w:val="auto"/>
          <w:sz w:val="24"/>
        </w:rPr>
        <w:t>、近一年内法定部门出具的质检报告；</w:t>
      </w:r>
    </w:p>
    <w:p w14:paraId="00C63139">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lang w:val="en-US" w:eastAsia="zh-CN"/>
        </w:rPr>
        <w:t>5</w:t>
      </w:r>
      <w:r>
        <w:rPr>
          <w:rFonts w:hint="eastAsia" w:ascii="仿宋" w:hAnsi="仿宋" w:eastAsia="仿宋"/>
          <w:color w:val="auto"/>
          <w:sz w:val="24"/>
        </w:rPr>
        <w:t>、企业简介；</w:t>
      </w:r>
    </w:p>
    <w:p w14:paraId="6A1A6D1A">
      <w:pPr>
        <w:spacing w:line="360" w:lineRule="auto"/>
        <w:ind w:firstLine="540" w:firstLineChars="225"/>
        <w:rPr>
          <w:rFonts w:hint="eastAsia" w:ascii="仿宋" w:hAnsi="仿宋" w:eastAsia="仿宋"/>
          <w:color w:val="auto"/>
          <w:sz w:val="24"/>
          <w:lang w:val="en-US" w:eastAsia="zh-CN"/>
        </w:rPr>
      </w:pPr>
      <w:r>
        <w:rPr>
          <w:rFonts w:hint="eastAsia" w:ascii="仿宋" w:hAnsi="仿宋" w:eastAsia="仿宋"/>
          <w:color w:val="auto"/>
          <w:sz w:val="24"/>
          <w:lang w:val="en-US" w:eastAsia="zh-CN"/>
        </w:rPr>
        <w:t>6</w:t>
      </w:r>
      <w:r>
        <w:rPr>
          <w:rFonts w:hint="eastAsia" w:ascii="仿宋" w:hAnsi="仿宋" w:eastAsia="仿宋"/>
          <w:color w:val="auto"/>
          <w:sz w:val="24"/>
        </w:rPr>
        <w:t>、若法人代表不到投标现场，需出具法定代表人委托书（委托书内容包括但不限于：委托权限、公章、法定代表人身份证复印件及签章、被委托人身份证复印件）</w:t>
      </w:r>
      <w:r>
        <w:rPr>
          <w:rFonts w:hint="eastAsia" w:ascii="仿宋" w:hAnsi="仿宋" w:eastAsia="仿宋"/>
          <w:color w:val="auto"/>
          <w:sz w:val="24"/>
          <w:lang w:eastAsia="zh-CN"/>
        </w:rPr>
        <w:t>；</w:t>
      </w:r>
      <w:r>
        <w:rPr>
          <w:rFonts w:hint="eastAsia" w:ascii="仿宋" w:hAnsi="仿宋" w:eastAsia="仿宋"/>
          <w:color w:val="auto"/>
          <w:sz w:val="24"/>
          <w:lang w:val="en-US" w:eastAsia="zh-CN"/>
        </w:rPr>
        <w:t xml:space="preserve">    </w:t>
      </w:r>
    </w:p>
    <w:p w14:paraId="0DC95E48">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lang w:val="en-US" w:eastAsia="zh-CN"/>
        </w:rPr>
        <w:t>7</w:t>
      </w:r>
      <w:r>
        <w:rPr>
          <w:rFonts w:hint="eastAsia" w:ascii="仿宋" w:hAnsi="仿宋" w:eastAsia="仿宋"/>
          <w:color w:val="auto"/>
          <w:sz w:val="24"/>
        </w:rPr>
        <w:t>、质量服务保证书。</w:t>
      </w:r>
    </w:p>
    <w:p w14:paraId="5B31A806">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lang w:val="en-US" w:eastAsia="zh-CN"/>
        </w:rPr>
        <w:t>8、</w:t>
      </w:r>
      <w:r>
        <w:rPr>
          <w:rFonts w:hint="eastAsia" w:ascii="仿宋" w:hAnsi="仿宋" w:eastAsia="仿宋"/>
          <w:color w:val="auto"/>
          <w:sz w:val="24"/>
        </w:rPr>
        <w:t>投标人近3年内提供相关服务业绩</w:t>
      </w:r>
      <w:r>
        <w:rPr>
          <w:rFonts w:hint="eastAsia" w:ascii="仿宋" w:hAnsi="仿宋" w:eastAsia="仿宋"/>
          <w:color w:val="auto"/>
          <w:sz w:val="24"/>
          <w:lang w:eastAsia="zh-CN"/>
        </w:rPr>
        <w:t>，</w:t>
      </w:r>
      <w:r>
        <w:rPr>
          <w:rFonts w:hint="eastAsia" w:ascii="仿宋" w:hAnsi="仿宋" w:eastAsia="仿宋"/>
          <w:color w:val="auto"/>
          <w:sz w:val="24"/>
        </w:rPr>
        <w:t>全国乳品行业排名前20名的企业</w:t>
      </w:r>
      <w:r>
        <w:rPr>
          <w:rFonts w:hint="eastAsia" w:ascii="仿宋" w:hAnsi="仿宋" w:eastAsia="仿宋"/>
          <w:color w:val="auto"/>
          <w:sz w:val="24"/>
          <w:lang w:val="en-US" w:eastAsia="zh-CN"/>
        </w:rPr>
        <w:t>至少两家</w:t>
      </w:r>
    </w:p>
    <w:p w14:paraId="165CE145">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（二）投标保证金</w:t>
      </w:r>
    </w:p>
    <w:p w14:paraId="50DE51FF">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1、投标人需于开标日之前，向招标人提交投标保证金</w:t>
      </w:r>
      <w:r>
        <w:rPr>
          <w:rFonts w:hint="eastAsia" w:ascii="仿宋" w:hAnsi="仿宋" w:eastAsia="仿宋"/>
          <w:color w:val="auto"/>
          <w:sz w:val="24"/>
          <w:lang w:val="en-US" w:eastAsia="zh-CN"/>
        </w:rPr>
        <w:t>叁</w:t>
      </w:r>
      <w:r>
        <w:rPr>
          <w:rFonts w:hint="eastAsia" w:ascii="仿宋" w:hAnsi="仿宋" w:eastAsia="仿宋"/>
          <w:color w:val="auto"/>
          <w:sz w:val="24"/>
        </w:rPr>
        <w:t>万元（￥</w:t>
      </w:r>
      <w:r>
        <w:rPr>
          <w:rFonts w:hint="eastAsia" w:ascii="仿宋" w:hAnsi="仿宋" w:eastAsia="仿宋"/>
          <w:color w:val="auto"/>
          <w:sz w:val="24"/>
          <w:lang w:val="en-US" w:eastAsia="zh-CN"/>
        </w:rPr>
        <w:t>3</w:t>
      </w:r>
      <w:r>
        <w:rPr>
          <w:rFonts w:hint="eastAsia" w:ascii="仿宋" w:hAnsi="仿宋" w:eastAsia="仿宋"/>
          <w:color w:val="auto"/>
          <w:sz w:val="24"/>
        </w:rPr>
        <w:t>0000元），保证金以电汇的方式提交至甘肃传祁乳业有限公司财务部，银行帐户信息如下：</w:t>
      </w:r>
    </w:p>
    <w:p w14:paraId="1CFD5B98">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公司名称：</w:t>
      </w:r>
      <w:r>
        <w:rPr>
          <w:rFonts w:hint="eastAsia" w:ascii="仿宋" w:hAnsi="仿宋" w:eastAsia="仿宋"/>
          <w:color w:val="auto"/>
          <w:sz w:val="24"/>
          <w:lang w:val="en-US" w:eastAsia="zh-CN"/>
        </w:rPr>
        <w:t xml:space="preserve"> </w:t>
      </w:r>
      <w:r>
        <w:rPr>
          <w:rFonts w:hint="eastAsia" w:ascii="仿宋" w:hAnsi="仿宋" w:eastAsia="仿宋"/>
          <w:color w:val="auto"/>
          <w:sz w:val="24"/>
        </w:rPr>
        <w:t>甘肃传祁</w:t>
      </w:r>
      <w:r>
        <w:rPr>
          <w:rFonts w:hint="eastAsia" w:ascii="仿宋" w:hAnsi="仿宋" w:eastAsia="仿宋"/>
          <w:color w:val="auto"/>
          <w:sz w:val="24"/>
          <w:lang w:val="en-US" w:eastAsia="zh-CN"/>
        </w:rPr>
        <w:t>甘味</w:t>
      </w:r>
      <w:r>
        <w:rPr>
          <w:rFonts w:hint="eastAsia" w:ascii="仿宋" w:hAnsi="仿宋" w:eastAsia="仿宋"/>
          <w:color w:val="auto"/>
          <w:sz w:val="24"/>
        </w:rPr>
        <w:t>乳业有限</w:t>
      </w:r>
      <w:r>
        <w:rPr>
          <w:rFonts w:hint="eastAsia" w:ascii="仿宋" w:hAnsi="仿宋" w:eastAsia="仿宋"/>
          <w:color w:val="auto"/>
          <w:sz w:val="24"/>
          <w:lang w:val="en-US" w:eastAsia="zh-CN"/>
        </w:rPr>
        <w:t>责任</w:t>
      </w:r>
      <w:r>
        <w:rPr>
          <w:rFonts w:hint="eastAsia" w:ascii="仿宋" w:hAnsi="仿宋" w:eastAsia="仿宋"/>
          <w:color w:val="auto"/>
          <w:sz w:val="24"/>
        </w:rPr>
        <w:t>公司</w:t>
      </w:r>
    </w:p>
    <w:p w14:paraId="20943CFA">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开户银行：</w:t>
      </w:r>
      <w:r>
        <w:rPr>
          <w:rFonts w:hint="eastAsia" w:ascii="仿宋" w:hAnsi="仿宋" w:eastAsia="仿宋"/>
          <w:color w:val="auto"/>
          <w:sz w:val="24"/>
          <w:lang w:val="en-US" w:eastAsia="zh-CN"/>
        </w:rPr>
        <w:t xml:space="preserve"> </w:t>
      </w:r>
      <w:r>
        <w:rPr>
          <w:rFonts w:hint="eastAsia" w:ascii="仿宋" w:hAnsi="仿宋" w:eastAsia="仿宋"/>
          <w:color w:val="auto"/>
          <w:sz w:val="24"/>
        </w:rPr>
        <w:t>甘肃银行股份有限公司皋兰支行</w:t>
      </w:r>
    </w:p>
    <w:p w14:paraId="53E49992">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开户账号：</w:t>
      </w:r>
      <w:r>
        <w:rPr>
          <w:rFonts w:hint="eastAsia" w:ascii="仿宋" w:hAnsi="仿宋" w:eastAsia="仿宋"/>
          <w:color w:val="auto"/>
          <w:sz w:val="24"/>
          <w:lang w:val="en-US" w:eastAsia="zh-CN"/>
        </w:rPr>
        <w:t xml:space="preserve"> </w:t>
      </w:r>
      <w:r>
        <w:rPr>
          <w:rFonts w:hint="eastAsia" w:ascii="仿宋" w:hAnsi="仿宋" w:eastAsia="仿宋"/>
          <w:color w:val="auto"/>
          <w:sz w:val="24"/>
        </w:rPr>
        <w:t>61010120900003050</w:t>
      </w:r>
    </w:p>
    <w:p w14:paraId="49AE4B8E">
      <w:pPr>
        <w:spacing w:line="360" w:lineRule="auto"/>
        <w:ind w:firstLine="540" w:firstLineChars="225"/>
        <w:rPr>
          <w:rFonts w:hint="eastAsia" w:ascii="仿宋" w:hAnsi="仿宋" w:eastAsia="仿宋"/>
          <w:color w:val="auto"/>
          <w:sz w:val="24"/>
        </w:rPr>
      </w:pPr>
      <w:r>
        <w:rPr>
          <w:rFonts w:hint="default" w:ascii="仿宋" w:hAnsi="仿宋" w:eastAsia="仿宋"/>
          <w:color w:val="auto"/>
          <w:sz w:val="24"/>
          <w:lang w:val="en-US" w:eastAsia="zh-CN"/>
        </w:rPr>
        <w:t>投标保证金缴纳完成视为报名成功。</w:t>
      </w:r>
    </w:p>
    <w:p w14:paraId="0B85F0E3">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2、发生以下情况之一者，投标保证金将予以没收。</w:t>
      </w:r>
    </w:p>
    <w:p w14:paraId="31AA1738">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2.1 投标人在投标截止日期后投标有效期内撤回其投标；</w:t>
      </w:r>
    </w:p>
    <w:p w14:paraId="676E5F29">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2.2 投标人在投标截止日期后对投标文件作实质性修改；</w:t>
      </w:r>
    </w:p>
    <w:p w14:paraId="48093C3F">
      <w:pPr>
        <w:spacing w:line="360" w:lineRule="auto"/>
        <w:ind w:firstLine="540" w:firstLineChars="225"/>
        <w:rPr>
          <w:rFonts w:hint="eastAsia" w:ascii="仿宋" w:hAnsi="仿宋" w:eastAsia="仿宋"/>
          <w:color w:val="auto"/>
          <w:sz w:val="24"/>
          <w:lang w:eastAsia="zh-CN"/>
        </w:rPr>
      </w:pPr>
      <w:r>
        <w:rPr>
          <w:rFonts w:hint="eastAsia" w:ascii="仿宋" w:hAnsi="仿宋" w:eastAsia="仿宋"/>
          <w:color w:val="auto"/>
          <w:sz w:val="24"/>
        </w:rPr>
        <w:t>2.3 投标人被通知中标后，拒绝按中标状态签订合同（即不按中标通知书规定的质量及技术参数要求、供货范围等签订合同）</w:t>
      </w:r>
      <w:r>
        <w:rPr>
          <w:rFonts w:hint="eastAsia" w:ascii="仿宋" w:hAnsi="仿宋" w:eastAsia="仿宋"/>
          <w:color w:val="auto"/>
          <w:sz w:val="24"/>
          <w:lang w:eastAsia="zh-CN"/>
        </w:rPr>
        <w:t>。</w:t>
      </w:r>
    </w:p>
    <w:p w14:paraId="6F98D81D">
      <w:pPr>
        <w:spacing w:line="360" w:lineRule="auto"/>
        <w:ind w:firstLine="540" w:firstLineChars="225"/>
        <w:rPr>
          <w:rFonts w:hint="eastAsia" w:ascii="仿宋" w:hAnsi="仿宋" w:eastAsia="仿宋"/>
          <w:color w:val="auto"/>
          <w:sz w:val="24"/>
          <w:highlight w:val="yellow"/>
        </w:rPr>
      </w:pPr>
      <w:r>
        <w:rPr>
          <w:rFonts w:hint="eastAsia" w:ascii="仿宋" w:hAnsi="仿宋" w:eastAsia="仿宋"/>
          <w:color w:val="auto"/>
          <w:sz w:val="24"/>
          <w:highlight w:val="yellow"/>
        </w:rPr>
        <w:t>3、保证金退还</w:t>
      </w:r>
    </w:p>
    <w:p w14:paraId="3A66633B">
      <w:pPr>
        <w:spacing w:line="360" w:lineRule="auto"/>
        <w:ind w:firstLine="540" w:firstLineChars="225"/>
        <w:rPr>
          <w:rFonts w:hint="eastAsia" w:ascii="仿宋" w:hAnsi="仿宋" w:eastAsia="仿宋"/>
          <w:color w:val="auto"/>
          <w:sz w:val="24"/>
          <w:highlight w:val="yellow"/>
          <w:lang w:eastAsia="zh-CN"/>
        </w:rPr>
      </w:pPr>
      <w:r>
        <w:rPr>
          <w:rFonts w:hint="eastAsia" w:ascii="仿宋" w:hAnsi="仿宋" w:eastAsia="仿宋"/>
          <w:color w:val="auto"/>
          <w:sz w:val="24"/>
          <w:highlight w:val="yellow"/>
        </w:rPr>
        <w:t>3.1</w:t>
      </w:r>
      <w:r>
        <w:rPr>
          <w:rFonts w:hint="eastAsia" w:ascii="仿宋" w:hAnsi="仿宋" w:eastAsia="仿宋"/>
          <w:color w:val="auto"/>
          <w:sz w:val="24"/>
          <w:highlight w:val="yellow"/>
          <w:lang w:val="en-US" w:eastAsia="zh-CN"/>
        </w:rPr>
        <w:t>未中标人投标保证金，将在评标结果公布后30日内无息原路退还；中标人投标保证金直接转为履约保证金，如过程正常终止合作或合作项目履行完毕，履约保证金30个工作日内无息原路退还。</w:t>
      </w:r>
    </w:p>
    <w:p w14:paraId="1345162E">
      <w:pPr>
        <w:spacing w:line="360" w:lineRule="auto"/>
        <w:ind w:firstLine="542" w:firstLineChars="225"/>
        <w:rPr>
          <w:rFonts w:hint="eastAsia" w:ascii="仿宋" w:hAnsi="仿宋" w:eastAsia="仿宋"/>
          <w:b/>
          <w:bCs/>
          <w:color w:val="auto"/>
          <w:sz w:val="24"/>
        </w:rPr>
      </w:pPr>
      <w:r>
        <w:rPr>
          <w:rFonts w:hint="eastAsia" w:ascii="仿宋" w:hAnsi="仿宋" w:eastAsia="仿宋"/>
          <w:b/>
          <w:bCs/>
          <w:color w:val="auto"/>
          <w:sz w:val="24"/>
          <w:lang w:val="en-US" w:eastAsia="zh-CN"/>
        </w:rPr>
        <w:t>六</w:t>
      </w:r>
      <w:r>
        <w:rPr>
          <w:rFonts w:hint="eastAsia" w:ascii="仿宋" w:hAnsi="仿宋" w:eastAsia="仿宋"/>
          <w:b/>
          <w:bCs/>
          <w:color w:val="auto"/>
          <w:sz w:val="24"/>
        </w:rPr>
        <w:t>、产品质量要求：</w:t>
      </w:r>
    </w:p>
    <w:p w14:paraId="5A4CB6B6">
      <w:pPr>
        <w:spacing w:line="360" w:lineRule="auto"/>
        <w:ind w:firstLine="540" w:firstLineChars="225"/>
        <w:rPr>
          <w:rFonts w:hint="eastAsia" w:ascii="仿宋" w:hAnsi="仿宋" w:eastAsia="仿宋"/>
          <w:color w:val="auto"/>
          <w:sz w:val="24"/>
          <w:lang w:eastAsia="zh-CN"/>
        </w:rPr>
      </w:pPr>
      <w:r>
        <w:rPr>
          <w:rFonts w:hint="eastAsia" w:ascii="仿宋" w:hAnsi="仿宋" w:eastAsia="仿宋"/>
          <w:color w:val="auto"/>
          <w:sz w:val="24"/>
        </w:rPr>
        <w:t>1、</w:t>
      </w:r>
      <w:r>
        <w:rPr>
          <w:rFonts w:hint="eastAsia" w:ascii="仿宋" w:hAnsi="仿宋" w:eastAsia="仿宋"/>
          <w:color w:val="auto"/>
          <w:sz w:val="24"/>
          <w:highlight w:val="yellow"/>
        </w:rPr>
        <w:t>实行</w:t>
      </w:r>
      <w:r>
        <w:rPr>
          <w:rFonts w:hint="eastAsia" w:ascii="仿宋" w:hAnsi="仿宋" w:eastAsia="仿宋"/>
          <w:color w:val="auto"/>
          <w:sz w:val="24"/>
          <w:highlight w:val="yellow"/>
          <w:lang w:val="en-US" w:eastAsia="zh-CN"/>
        </w:rPr>
        <w:t>产品100%合格率</w:t>
      </w:r>
      <w:r>
        <w:rPr>
          <w:rFonts w:hint="eastAsia" w:ascii="仿宋" w:hAnsi="仿宋" w:eastAsia="仿宋"/>
          <w:color w:val="auto"/>
          <w:sz w:val="24"/>
          <w:highlight w:val="yellow"/>
        </w:rPr>
        <w:t>，</w:t>
      </w:r>
      <w:r>
        <w:rPr>
          <w:rFonts w:hint="eastAsia" w:ascii="仿宋" w:hAnsi="仿宋" w:eastAsia="仿宋"/>
          <w:color w:val="auto"/>
          <w:sz w:val="24"/>
        </w:rPr>
        <w:t>供应商切记不可向招标方交付</w:t>
      </w:r>
      <w:r>
        <w:rPr>
          <w:rFonts w:hint="eastAsia" w:ascii="仿宋" w:hAnsi="仿宋" w:eastAsia="仿宋"/>
          <w:color w:val="auto"/>
          <w:sz w:val="24"/>
          <w:lang w:val="en-US" w:eastAsia="zh-CN"/>
        </w:rPr>
        <w:t>低于100%</w:t>
      </w:r>
      <w:r>
        <w:rPr>
          <w:rFonts w:hint="eastAsia" w:ascii="仿宋" w:hAnsi="仿宋" w:eastAsia="仿宋"/>
          <w:color w:val="auto"/>
          <w:sz w:val="24"/>
        </w:rPr>
        <w:t>合格</w:t>
      </w:r>
      <w:r>
        <w:rPr>
          <w:rFonts w:hint="eastAsia" w:ascii="仿宋" w:hAnsi="仿宋" w:eastAsia="仿宋"/>
          <w:color w:val="auto"/>
          <w:sz w:val="24"/>
          <w:lang w:val="en-US" w:eastAsia="zh-CN"/>
        </w:rPr>
        <w:t>率的</w:t>
      </w:r>
      <w:r>
        <w:rPr>
          <w:rFonts w:hint="eastAsia" w:ascii="仿宋" w:hAnsi="仿宋" w:eastAsia="仿宋"/>
          <w:color w:val="auto"/>
          <w:sz w:val="24"/>
        </w:rPr>
        <w:t>产品，一经确认为不合格品，招标方不退还问题产品并实施销毁，由此形成的损失由供方全额承担。合同期内</w:t>
      </w:r>
      <w:r>
        <w:rPr>
          <w:rFonts w:hint="eastAsia" w:ascii="仿宋" w:hAnsi="仿宋" w:eastAsia="仿宋"/>
          <w:color w:val="auto"/>
          <w:sz w:val="24"/>
          <w:lang w:val="en-US" w:eastAsia="zh-CN"/>
        </w:rPr>
        <w:t>两次</w:t>
      </w:r>
      <w:r>
        <w:rPr>
          <w:rFonts w:hint="eastAsia" w:ascii="仿宋" w:hAnsi="仿宋" w:eastAsia="仿宋"/>
          <w:color w:val="auto"/>
          <w:sz w:val="24"/>
        </w:rPr>
        <w:t>次质量事件的将取消合格供应商资格，</w:t>
      </w:r>
      <w:r>
        <w:rPr>
          <w:rFonts w:hint="eastAsia" w:ascii="仿宋" w:hAnsi="仿宋" w:eastAsia="仿宋"/>
          <w:color w:val="auto"/>
          <w:sz w:val="24"/>
          <w:lang w:val="en-US" w:eastAsia="zh-CN"/>
        </w:rPr>
        <w:t>三</w:t>
      </w:r>
      <w:r>
        <w:rPr>
          <w:rFonts w:hint="eastAsia" w:ascii="仿宋" w:hAnsi="仿宋" w:eastAsia="仿宋"/>
          <w:color w:val="auto"/>
          <w:sz w:val="24"/>
        </w:rPr>
        <w:t>年内不邀请参与甘肃传祁</w:t>
      </w:r>
      <w:r>
        <w:rPr>
          <w:rFonts w:hint="eastAsia" w:ascii="仿宋" w:hAnsi="仿宋" w:eastAsia="仿宋"/>
          <w:color w:val="auto"/>
          <w:sz w:val="24"/>
          <w:lang w:val="en-US" w:eastAsia="zh-CN"/>
        </w:rPr>
        <w:t>甘味</w:t>
      </w:r>
      <w:r>
        <w:rPr>
          <w:rFonts w:hint="eastAsia" w:ascii="仿宋" w:hAnsi="仿宋" w:eastAsia="仿宋"/>
          <w:color w:val="auto"/>
          <w:sz w:val="24"/>
        </w:rPr>
        <w:t>乳业有限</w:t>
      </w:r>
      <w:r>
        <w:rPr>
          <w:rFonts w:hint="eastAsia" w:ascii="仿宋" w:hAnsi="仿宋" w:eastAsia="仿宋"/>
          <w:color w:val="auto"/>
          <w:sz w:val="24"/>
          <w:lang w:val="en-US" w:eastAsia="zh-CN"/>
        </w:rPr>
        <w:t>责任</w:t>
      </w:r>
      <w:r>
        <w:rPr>
          <w:rFonts w:hint="eastAsia" w:ascii="仿宋" w:hAnsi="仿宋" w:eastAsia="仿宋"/>
          <w:color w:val="auto"/>
          <w:sz w:val="24"/>
        </w:rPr>
        <w:t>公司</w:t>
      </w:r>
      <w:r>
        <w:rPr>
          <w:rFonts w:hint="eastAsia" w:ascii="仿宋" w:hAnsi="仿宋" w:eastAsia="仿宋"/>
          <w:color w:val="auto"/>
          <w:sz w:val="24"/>
          <w:lang w:val="en-US" w:eastAsia="zh-CN"/>
        </w:rPr>
        <w:t>招标项目</w:t>
      </w:r>
      <w:r>
        <w:rPr>
          <w:rFonts w:hint="eastAsia" w:ascii="仿宋" w:hAnsi="仿宋" w:eastAsia="仿宋"/>
          <w:color w:val="auto"/>
          <w:sz w:val="24"/>
          <w:lang w:eastAsia="zh-CN"/>
        </w:rPr>
        <w:t>；</w:t>
      </w:r>
    </w:p>
    <w:p w14:paraId="56BE96F0">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lang w:val="en-US" w:eastAsia="zh-CN"/>
        </w:rPr>
        <w:t>2</w:t>
      </w:r>
      <w:r>
        <w:rPr>
          <w:rFonts w:hint="eastAsia" w:ascii="仿宋" w:hAnsi="仿宋" w:eastAsia="仿宋"/>
          <w:color w:val="auto"/>
          <w:sz w:val="24"/>
        </w:rPr>
        <w:t>．数量以需方实际订单为准。</w:t>
      </w:r>
    </w:p>
    <w:p w14:paraId="6D0D27EC">
      <w:pPr>
        <w:spacing w:line="360" w:lineRule="auto"/>
        <w:ind w:firstLine="540" w:firstLineChars="225"/>
        <w:rPr>
          <w:rFonts w:hint="eastAsia" w:ascii="仿宋" w:hAnsi="仿宋" w:eastAsia="仿宋"/>
          <w:color w:val="auto"/>
          <w:sz w:val="24"/>
        </w:rPr>
      </w:pPr>
    </w:p>
    <w:p w14:paraId="3FEA5B7F">
      <w:pPr>
        <w:spacing w:line="360" w:lineRule="auto"/>
        <w:ind w:firstLine="542" w:firstLineChars="225"/>
        <w:rPr>
          <w:rFonts w:hint="eastAsia" w:ascii="仿宋" w:hAnsi="仿宋" w:eastAsia="仿宋"/>
          <w:b/>
          <w:bCs/>
          <w:color w:val="auto"/>
          <w:sz w:val="24"/>
        </w:rPr>
      </w:pPr>
      <w:r>
        <w:rPr>
          <w:rFonts w:hint="eastAsia" w:ascii="仿宋" w:hAnsi="仿宋" w:eastAsia="仿宋"/>
          <w:b/>
          <w:bCs/>
          <w:color w:val="auto"/>
          <w:sz w:val="24"/>
          <w:lang w:val="en-US" w:eastAsia="zh-CN"/>
        </w:rPr>
        <w:t>七</w:t>
      </w:r>
      <w:r>
        <w:rPr>
          <w:rFonts w:hint="eastAsia" w:ascii="仿宋" w:hAnsi="仿宋" w:eastAsia="仿宋"/>
          <w:b/>
          <w:bCs/>
          <w:color w:val="auto"/>
          <w:sz w:val="24"/>
        </w:rPr>
        <w:t>、投标文件构成及装订顺序：</w:t>
      </w:r>
    </w:p>
    <w:p w14:paraId="74EFA4BA">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投标文件要求主要由以下</w:t>
      </w:r>
      <w:r>
        <w:rPr>
          <w:rFonts w:hint="eastAsia" w:ascii="仿宋" w:hAnsi="仿宋" w:eastAsia="仿宋"/>
          <w:color w:val="auto"/>
          <w:sz w:val="24"/>
          <w:lang w:val="en-US" w:eastAsia="zh-CN"/>
        </w:rPr>
        <w:t>10</w:t>
      </w:r>
      <w:r>
        <w:rPr>
          <w:rFonts w:hint="eastAsia" w:ascii="仿宋" w:hAnsi="仿宋" w:eastAsia="仿宋"/>
          <w:color w:val="auto"/>
          <w:sz w:val="24"/>
        </w:rPr>
        <w:t>个部分组成，全部加盖公章后按序装订成册密封提交。</w:t>
      </w:r>
    </w:p>
    <w:p w14:paraId="3652AF46">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z w:val="24"/>
          <w:lang w:val="en-US" w:eastAsia="zh-CN"/>
        </w:rPr>
        <w:t>1</w:t>
      </w:r>
      <w:r>
        <w:rPr>
          <w:rFonts w:hint="eastAsia" w:ascii="仿宋" w:hAnsi="仿宋" w:eastAsia="仿宋"/>
          <w:color w:val="auto"/>
          <w:sz w:val="24"/>
          <w:lang w:eastAsia="zh-CN"/>
        </w:rPr>
        <w:t>）</w:t>
      </w:r>
      <w:r>
        <w:rPr>
          <w:rFonts w:hint="eastAsia" w:ascii="仿宋" w:hAnsi="仿宋" w:eastAsia="仿宋"/>
          <w:color w:val="auto"/>
          <w:sz w:val="24"/>
        </w:rPr>
        <w:t>营业执照副本；</w:t>
      </w:r>
    </w:p>
    <w:p w14:paraId="598D3212">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z w:val="24"/>
          <w:lang w:val="en-US" w:eastAsia="zh-CN"/>
        </w:rPr>
        <w:t>2</w:t>
      </w:r>
      <w:r>
        <w:rPr>
          <w:rFonts w:hint="eastAsia" w:ascii="仿宋" w:hAnsi="仿宋" w:eastAsia="仿宋"/>
          <w:color w:val="auto"/>
          <w:sz w:val="24"/>
          <w:lang w:eastAsia="zh-CN"/>
        </w:rPr>
        <w:t>）</w:t>
      </w:r>
      <w:r>
        <w:rPr>
          <w:rFonts w:hint="eastAsia" w:ascii="仿宋" w:hAnsi="仿宋" w:eastAsia="仿宋"/>
          <w:color w:val="auto"/>
          <w:sz w:val="24"/>
        </w:rPr>
        <w:t>开户银行许可证</w:t>
      </w:r>
      <w:r>
        <w:rPr>
          <w:rFonts w:hint="eastAsia" w:ascii="仿宋" w:hAnsi="仿宋" w:eastAsia="仿宋"/>
          <w:color w:val="auto"/>
          <w:sz w:val="24"/>
          <w:lang w:eastAsia="zh-CN"/>
        </w:rPr>
        <w:t>；</w:t>
      </w:r>
    </w:p>
    <w:p w14:paraId="03B8DF20">
      <w:pPr>
        <w:spacing w:line="360" w:lineRule="auto"/>
        <w:ind w:firstLine="540" w:firstLineChars="225"/>
        <w:rPr>
          <w:rFonts w:hint="eastAsia" w:ascii="仿宋" w:hAnsi="仿宋" w:eastAsia="仿宋"/>
          <w:color w:val="auto"/>
          <w:sz w:val="24"/>
          <w:lang w:eastAsia="zh-CN"/>
        </w:rPr>
      </w:pPr>
      <w:r>
        <w:rPr>
          <w:rFonts w:hint="eastAsia" w:ascii="仿宋" w:hAnsi="仿宋" w:eastAsia="仿宋"/>
          <w:color w:val="auto"/>
          <w:sz w:val="24"/>
        </w:rPr>
        <w:t>（</w:t>
      </w:r>
      <w:r>
        <w:rPr>
          <w:rFonts w:hint="eastAsia" w:ascii="仿宋" w:hAnsi="仿宋" w:eastAsia="仿宋"/>
          <w:color w:val="auto"/>
          <w:sz w:val="24"/>
          <w:lang w:val="en-US" w:eastAsia="zh-CN"/>
        </w:rPr>
        <w:t>3</w:t>
      </w:r>
      <w:r>
        <w:rPr>
          <w:rFonts w:hint="eastAsia" w:ascii="仿宋" w:hAnsi="仿宋" w:eastAsia="仿宋"/>
          <w:color w:val="auto"/>
          <w:sz w:val="24"/>
        </w:rPr>
        <w:t>）身份证明。证明是投标单位合法责任人或受托人，若法人代表不到投标现场，需出具法定代表人委托书（委托书内容包括但不限于：委托权限、公章、法定代表人身份证复印件及签章、被委托人身份证复印件）</w:t>
      </w:r>
      <w:r>
        <w:rPr>
          <w:rFonts w:hint="eastAsia" w:ascii="仿宋" w:hAnsi="仿宋" w:eastAsia="仿宋"/>
          <w:color w:val="auto"/>
          <w:sz w:val="24"/>
          <w:lang w:eastAsia="zh-CN"/>
        </w:rPr>
        <w:t>；</w:t>
      </w:r>
    </w:p>
    <w:p w14:paraId="2CCAA03D">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w:t>
      </w:r>
      <w:r>
        <w:rPr>
          <w:rFonts w:hint="eastAsia" w:ascii="仿宋" w:hAnsi="仿宋" w:eastAsia="仿宋"/>
          <w:color w:val="auto"/>
          <w:sz w:val="24"/>
          <w:lang w:val="en-US" w:eastAsia="zh-CN"/>
        </w:rPr>
        <w:t>4</w:t>
      </w:r>
      <w:r>
        <w:rPr>
          <w:rFonts w:hint="eastAsia" w:ascii="仿宋" w:hAnsi="仿宋" w:eastAsia="仿宋"/>
          <w:color w:val="auto"/>
          <w:sz w:val="24"/>
        </w:rPr>
        <w:t xml:space="preserve">）公司简介（企业规模、经营状况、行业地位、营销业绩、质量控制体系）； </w:t>
      </w:r>
    </w:p>
    <w:p w14:paraId="6AF9C510">
      <w:pPr>
        <w:spacing w:line="360" w:lineRule="auto"/>
        <w:ind w:firstLine="540" w:firstLineChars="225"/>
        <w:rPr>
          <w:rFonts w:hint="eastAsia" w:ascii="仿宋" w:hAnsi="仿宋" w:eastAsia="仿宋"/>
          <w:color w:val="auto"/>
          <w:sz w:val="24"/>
          <w:lang w:eastAsia="zh-CN"/>
        </w:rPr>
      </w:pPr>
      <w:r>
        <w:rPr>
          <w:rFonts w:hint="eastAsia" w:ascii="仿宋" w:hAnsi="仿宋" w:eastAsia="仿宋"/>
          <w:color w:val="auto"/>
          <w:sz w:val="24"/>
        </w:rPr>
        <w:t>（</w:t>
      </w:r>
      <w:r>
        <w:rPr>
          <w:rFonts w:hint="eastAsia" w:ascii="仿宋" w:hAnsi="仿宋" w:eastAsia="仿宋"/>
          <w:color w:val="auto"/>
          <w:sz w:val="24"/>
          <w:lang w:val="en-US" w:eastAsia="zh-CN"/>
        </w:rPr>
        <w:t>5</w:t>
      </w:r>
      <w:r>
        <w:rPr>
          <w:rFonts w:hint="eastAsia" w:ascii="仿宋" w:hAnsi="仿宋" w:eastAsia="仿宋"/>
          <w:color w:val="auto"/>
          <w:sz w:val="24"/>
        </w:rPr>
        <w:t>）生产资质。制造商应具有国家规定的相关生产资质，如为代理商还需提供制造商的制造资质及授权证书</w:t>
      </w:r>
      <w:r>
        <w:rPr>
          <w:rFonts w:hint="eastAsia" w:ascii="仿宋" w:hAnsi="仿宋" w:eastAsia="仿宋"/>
          <w:color w:val="auto"/>
          <w:sz w:val="24"/>
          <w:lang w:eastAsia="zh-CN"/>
        </w:rPr>
        <w:t>；</w:t>
      </w:r>
    </w:p>
    <w:p w14:paraId="039669DF">
      <w:pPr>
        <w:spacing w:line="360" w:lineRule="auto"/>
        <w:ind w:firstLine="540" w:firstLineChars="225"/>
        <w:rPr>
          <w:rFonts w:hint="eastAsia" w:ascii="仿宋" w:hAnsi="仿宋" w:eastAsia="仿宋"/>
          <w:color w:val="auto"/>
          <w:sz w:val="24"/>
          <w:lang w:eastAsia="zh-CN"/>
        </w:rPr>
      </w:pPr>
      <w:r>
        <w:rPr>
          <w:rFonts w:hint="eastAsia" w:ascii="仿宋" w:hAnsi="仿宋" w:eastAsia="仿宋"/>
          <w:color w:val="auto"/>
          <w:sz w:val="24"/>
        </w:rPr>
        <w:t>（</w:t>
      </w:r>
      <w:r>
        <w:rPr>
          <w:rFonts w:hint="eastAsia" w:ascii="仿宋" w:hAnsi="仿宋" w:eastAsia="仿宋"/>
          <w:color w:val="auto"/>
          <w:sz w:val="24"/>
          <w:lang w:val="en-US" w:eastAsia="zh-CN"/>
        </w:rPr>
        <w:t>6</w:t>
      </w:r>
      <w:r>
        <w:rPr>
          <w:rFonts w:hint="eastAsia" w:ascii="仿宋" w:hAnsi="仿宋" w:eastAsia="仿宋"/>
          <w:color w:val="auto"/>
          <w:sz w:val="24"/>
        </w:rPr>
        <w:t>）质量认证材料。投标产品相关认证材料、产品检验合格证明</w:t>
      </w:r>
      <w:r>
        <w:rPr>
          <w:rFonts w:hint="eastAsia" w:ascii="仿宋" w:hAnsi="仿宋" w:eastAsia="仿宋"/>
          <w:color w:val="auto"/>
          <w:sz w:val="24"/>
          <w:lang w:eastAsia="zh-CN"/>
        </w:rPr>
        <w:t>；</w:t>
      </w:r>
    </w:p>
    <w:p w14:paraId="3C694B39">
      <w:pPr>
        <w:spacing w:line="360" w:lineRule="auto"/>
        <w:ind w:firstLine="540" w:firstLineChars="225"/>
        <w:rPr>
          <w:rFonts w:hint="eastAsia" w:ascii="仿宋" w:hAnsi="仿宋" w:eastAsia="仿宋"/>
          <w:color w:val="auto"/>
          <w:sz w:val="24"/>
          <w:lang w:eastAsia="zh-CN"/>
        </w:rPr>
      </w:pPr>
      <w:r>
        <w:rPr>
          <w:rFonts w:hint="eastAsia" w:ascii="仿宋" w:hAnsi="仿宋" w:eastAsia="仿宋"/>
          <w:color w:val="auto"/>
          <w:sz w:val="24"/>
        </w:rPr>
        <w:t>（</w:t>
      </w:r>
      <w:r>
        <w:rPr>
          <w:rFonts w:hint="eastAsia" w:ascii="仿宋" w:hAnsi="仿宋" w:eastAsia="仿宋"/>
          <w:color w:val="auto"/>
          <w:sz w:val="24"/>
          <w:lang w:val="en-US" w:eastAsia="zh-CN"/>
        </w:rPr>
        <w:t>7</w:t>
      </w:r>
      <w:r>
        <w:rPr>
          <w:rFonts w:hint="eastAsia" w:ascii="仿宋" w:hAnsi="仿宋" w:eastAsia="仿宋"/>
          <w:color w:val="auto"/>
          <w:sz w:val="24"/>
        </w:rPr>
        <w:t>）业绩证明。要求提供近2年国内品牌合作业绩，投标方需提供合作单位的目录和样张，并说明对应包材品牌的销售区域，合作品牌的级别将作为重要评标依据</w:t>
      </w:r>
      <w:r>
        <w:rPr>
          <w:rFonts w:hint="eastAsia" w:ascii="仿宋" w:hAnsi="仿宋" w:eastAsia="仿宋"/>
          <w:color w:val="auto"/>
          <w:sz w:val="24"/>
          <w:lang w:eastAsia="zh-CN"/>
        </w:rPr>
        <w:t>；</w:t>
      </w:r>
    </w:p>
    <w:p w14:paraId="7643BD58">
      <w:pPr>
        <w:spacing w:line="360" w:lineRule="auto"/>
        <w:ind w:firstLine="540" w:firstLineChars="225"/>
        <w:rPr>
          <w:rFonts w:hint="eastAsia" w:ascii="仿宋" w:hAnsi="仿宋" w:eastAsia="仿宋"/>
          <w:color w:val="auto"/>
          <w:sz w:val="24"/>
          <w:lang w:eastAsia="zh-CN"/>
        </w:rPr>
      </w:pPr>
      <w:r>
        <w:rPr>
          <w:rFonts w:hint="eastAsia" w:ascii="仿宋" w:hAnsi="仿宋" w:eastAsia="仿宋"/>
          <w:color w:val="auto"/>
          <w:sz w:val="24"/>
        </w:rPr>
        <w:t>（</w:t>
      </w:r>
      <w:r>
        <w:rPr>
          <w:rFonts w:hint="eastAsia" w:ascii="仿宋" w:hAnsi="仿宋" w:eastAsia="仿宋"/>
          <w:color w:val="auto"/>
          <w:sz w:val="24"/>
          <w:lang w:val="en-US" w:eastAsia="zh-CN"/>
        </w:rPr>
        <w:t>8</w:t>
      </w:r>
      <w:r>
        <w:rPr>
          <w:rFonts w:hint="eastAsia" w:ascii="仿宋" w:hAnsi="仿宋" w:eastAsia="仿宋"/>
          <w:color w:val="auto"/>
          <w:sz w:val="24"/>
        </w:rPr>
        <w:t>）质量保证及售后服务承诺书。须承诺已明确</w:t>
      </w:r>
      <w:r>
        <w:rPr>
          <w:rFonts w:hint="eastAsia" w:ascii="仿宋" w:hAnsi="仿宋" w:eastAsia="仿宋"/>
          <w:color w:val="auto"/>
          <w:sz w:val="24"/>
          <w:lang w:val="en-US" w:eastAsia="zh-CN"/>
        </w:rPr>
        <w:t>产品质量质量要求</w:t>
      </w:r>
      <w:r>
        <w:rPr>
          <w:rFonts w:hint="eastAsia" w:ascii="仿宋" w:hAnsi="仿宋" w:eastAsia="仿宋"/>
          <w:color w:val="auto"/>
          <w:sz w:val="24"/>
        </w:rPr>
        <w:t>处理办法，并承担因包材质量原因导致质量安全事故所造成的全部损失</w:t>
      </w:r>
      <w:r>
        <w:rPr>
          <w:rFonts w:hint="eastAsia" w:ascii="仿宋" w:hAnsi="仿宋" w:eastAsia="仿宋"/>
          <w:color w:val="auto"/>
          <w:sz w:val="24"/>
          <w:lang w:eastAsia="zh-CN"/>
        </w:rPr>
        <w:t>；</w:t>
      </w:r>
    </w:p>
    <w:p w14:paraId="558B1D94">
      <w:pPr>
        <w:spacing w:line="360" w:lineRule="auto"/>
        <w:ind w:firstLine="540" w:firstLineChars="225"/>
        <w:rPr>
          <w:rFonts w:hint="eastAsia" w:ascii="仿宋" w:hAnsi="仿宋" w:eastAsia="仿宋"/>
          <w:color w:val="auto"/>
          <w:sz w:val="24"/>
          <w:lang w:eastAsia="zh-CN"/>
        </w:rPr>
      </w:pPr>
      <w:r>
        <w:rPr>
          <w:rFonts w:hint="eastAsia" w:ascii="仿宋" w:hAnsi="仿宋" w:eastAsia="仿宋"/>
          <w:color w:val="auto"/>
          <w:sz w:val="24"/>
        </w:rPr>
        <w:t>（</w:t>
      </w:r>
      <w:r>
        <w:rPr>
          <w:rFonts w:hint="eastAsia" w:ascii="仿宋" w:hAnsi="仿宋" w:eastAsia="仿宋"/>
          <w:color w:val="auto"/>
          <w:sz w:val="24"/>
          <w:lang w:val="en-US" w:eastAsia="zh-CN"/>
        </w:rPr>
        <w:t>9</w:t>
      </w:r>
      <w:r>
        <w:rPr>
          <w:rFonts w:hint="eastAsia" w:ascii="仿宋" w:hAnsi="仿宋" w:eastAsia="仿宋"/>
          <w:color w:val="auto"/>
          <w:sz w:val="24"/>
        </w:rPr>
        <w:t>）报价书报价应包含所有相关费用，包括货物、包装、装车、运输、1</w:t>
      </w:r>
      <w:r>
        <w:rPr>
          <w:rFonts w:hint="eastAsia" w:ascii="仿宋" w:hAnsi="仿宋" w:eastAsia="仿宋"/>
          <w:color w:val="auto"/>
          <w:sz w:val="24"/>
          <w:lang w:val="en-US" w:eastAsia="zh-CN"/>
        </w:rPr>
        <w:t>3</w:t>
      </w:r>
      <w:r>
        <w:rPr>
          <w:rFonts w:hint="eastAsia" w:ascii="仿宋" w:hAnsi="仿宋" w:eastAsia="仿宋"/>
          <w:color w:val="auto"/>
          <w:sz w:val="24"/>
        </w:rPr>
        <w:t>%增值税金等费用</w:t>
      </w:r>
      <w:r>
        <w:rPr>
          <w:rFonts w:hint="eastAsia" w:ascii="仿宋" w:hAnsi="仿宋" w:eastAsia="仿宋"/>
          <w:color w:val="auto"/>
          <w:sz w:val="24"/>
          <w:lang w:eastAsia="zh-CN"/>
        </w:rPr>
        <w:t>；</w:t>
      </w:r>
    </w:p>
    <w:p w14:paraId="76F6A298">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w:t>
      </w:r>
      <w:r>
        <w:rPr>
          <w:rFonts w:hint="eastAsia" w:ascii="仿宋" w:hAnsi="仿宋" w:eastAsia="仿宋"/>
          <w:color w:val="auto"/>
          <w:sz w:val="24"/>
          <w:lang w:val="en-US" w:eastAsia="zh-CN"/>
        </w:rPr>
        <w:t>10</w:t>
      </w:r>
      <w:r>
        <w:rPr>
          <w:rFonts w:hint="eastAsia" w:ascii="仿宋" w:hAnsi="仿宋" w:eastAsia="仿宋"/>
          <w:color w:val="auto"/>
          <w:sz w:val="24"/>
        </w:rPr>
        <w:t>）投标差异表。对招标文件中条件与实际投标条件的偏差进行说明，若未填写《投标差异表》视为投标方完全同意招标文件全部条款。</w:t>
      </w:r>
    </w:p>
    <w:p w14:paraId="6625A41B">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2、</w:t>
      </w:r>
      <w:r>
        <w:rPr>
          <w:rFonts w:hint="eastAsia" w:ascii="仿宋" w:hAnsi="仿宋" w:eastAsia="仿宋"/>
          <w:color w:val="auto"/>
          <w:sz w:val="24"/>
          <w:highlight w:val="yellow"/>
        </w:rPr>
        <w:t>递交投标文件时间：20</w:t>
      </w:r>
      <w:r>
        <w:rPr>
          <w:rFonts w:hint="eastAsia" w:ascii="仿宋" w:hAnsi="仿宋" w:eastAsia="仿宋"/>
          <w:color w:val="auto"/>
          <w:sz w:val="24"/>
          <w:highlight w:val="yellow"/>
          <w:lang w:val="en-US" w:eastAsia="zh-CN"/>
        </w:rPr>
        <w:t>25</w:t>
      </w:r>
      <w:r>
        <w:rPr>
          <w:rFonts w:hint="eastAsia" w:ascii="仿宋" w:hAnsi="仿宋" w:eastAsia="仿宋"/>
          <w:color w:val="auto"/>
          <w:sz w:val="24"/>
          <w:highlight w:val="yellow"/>
        </w:rPr>
        <w:t>年</w:t>
      </w:r>
      <w:r>
        <w:rPr>
          <w:rFonts w:hint="eastAsia" w:ascii="仿宋" w:hAnsi="仿宋" w:eastAsia="仿宋"/>
          <w:color w:val="auto"/>
          <w:sz w:val="24"/>
          <w:highlight w:val="yellow"/>
          <w:lang w:val="en-US" w:eastAsia="zh-CN"/>
        </w:rPr>
        <w:t>08</w:t>
      </w:r>
      <w:r>
        <w:rPr>
          <w:rFonts w:hint="eastAsia" w:ascii="仿宋" w:hAnsi="仿宋" w:eastAsia="仿宋"/>
          <w:color w:val="auto"/>
          <w:sz w:val="24"/>
          <w:highlight w:val="yellow"/>
        </w:rPr>
        <w:t>月</w:t>
      </w:r>
      <w:r>
        <w:rPr>
          <w:rFonts w:hint="eastAsia" w:ascii="仿宋" w:hAnsi="仿宋" w:eastAsia="仿宋"/>
          <w:color w:val="auto"/>
          <w:sz w:val="24"/>
          <w:highlight w:val="yellow"/>
          <w:lang w:val="en-US" w:eastAsia="zh-CN"/>
        </w:rPr>
        <w:t>19</w:t>
      </w:r>
      <w:r>
        <w:rPr>
          <w:rFonts w:hint="eastAsia" w:ascii="仿宋" w:hAnsi="仿宋" w:eastAsia="仿宋"/>
          <w:color w:val="auto"/>
          <w:sz w:val="24"/>
          <w:highlight w:val="yellow"/>
        </w:rPr>
        <w:t>日</w:t>
      </w:r>
      <w:r>
        <w:rPr>
          <w:rFonts w:hint="eastAsia" w:ascii="仿宋" w:hAnsi="仿宋" w:eastAsia="仿宋"/>
          <w:color w:val="auto"/>
          <w:sz w:val="24"/>
          <w:highlight w:val="yellow"/>
          <w:lang w:eastAsia="zh-CN"/>
        </w:rPr>
        <w:t>下</w:t>
      </w:r>
      <w:r>
        <w:rPr>
          <w:rFonts w:hint="eastAsia" w:ascii="仿宋" w:hAnsi="仿宋" w:eastAsia="仿宋"/>
          <w:color w:val="auto"/>
          <w:sz w:val="24"/>
          <w:highlight w:val="yellow"/>
        </w:rPr>
        <w:t>午</w:t>
      </w:r>
      <w:r>
        <w:rPr>
          <w:rFonts w:hint="eastAsia" w:ascii="仿宋" w:hAnsi="仿宋" w:eastAsia="仿宋"/>
          <w:color w:val="auto"/>
          <w:sz w:val="24"/>
          <w:highlight w:val="yellow"/>
          <w:lang w:val="en-US" w:eastAsia="zh-CN"/>
        </w:rPr>
        <w:t>18：00</w:t>
      </w:r>
      <w:r>
        <w:rPr>
          <w:rFonts w:hint="eastAsia" w:ascii="仿宋" w:hAnsi="仿宋" w:eastAsia="仿宋"/>
          <w:color w:val="auto"/>
          <w:sz w:val="24"/>
          <w:highlight w:val="yellow"/>
        </w:rPr>
        <w:t>止；投标文件邮寄</w:t>
      </w:r>
      <w:r>
        <w:rPr>
          <w:rFonts w:hint="eastAsia" w:ascii="仿宋" w:hAnsi="仿宋" w:eastAsia="仿宋"/>
          <w:color w:val="auto"/>
          <w:sz w:val="24"/>
          <w:highlight w:val="yellow"/>
          <w:lang w:val="en-US" w:eastAsia="zh-CN"/>
        </w:rPr>
        <w:t xml:space="preserve">地址： </w:t>
      </w:r>
      <w:r>
        <w:rPr>
          <w:rFonts w:hint="eastAsia" w:ascii="仿宋" w:hAnsi="仿宋" w:eastAsia="仿宋"/>
          <w:color w:val="auto"/>
          <w:sz w:val="24"/>
          <w:highlight w:val="yellow"/>
        </w:rPr>
        <w:t>甘肃传祁</w:t>
      </w:r>
      <w:r>
        <w:rPr>
          <w:rFonts w:hint="eastAsia" w:ascii="仿宋" w:hAnsi="仿宋" w:eastAsia="仿宋"/>
          <w:color w:val="auto"/>
          <w:sz w:val="24"/>
          <w:highlight w:val="yellow"/>
          <w:lang w:val="en-US" w:eastAsia="zh-CN"/>
        </w:rPr>
        <w:t>甘味</w:t>
      </w:r>
      <w:r>
        <w:rPr>
          <w:rFonts w:hint="eastAsia" w:ascii="仿宋" w:hAnsi="仿宋" w:eastAsia="仿宋"/>
          <w:color w:val="auto"/>
          <w:sz w:val="24"/>
          <w:highlight w:val="yellow"/>
        </w:rPr>
        <w:t>乳业有限</w:t>
      </w:r>
      <w:r>
        <w:rPr>
          <w:rFonts w:hint="eastAsia" w:ascii="仿宋" w:hAnsi="仿宋" w:eastAsia="仿宋"/>
          <w:color w:val="auto"/>
          <w:sz w:val="24"/>
          <w:highlight w:val="yellow"/>
          <w:lang w:val="en-US" w:eastAsia="zh-CN"/>
        </w:rPr>
        <w:t>责任</w:t>
      </w:r>
      <w:r>
        <w:rPr>
          <w:rFonts w:hint="eastAsia" w:ascii="仿宋" w:hAnsi="仿宋" w:eastAsia="仿宋"/>
          <w:color w:val="auto"/>
          <w:sz w:val="24"/>
          <w:highlight w:val="yellow"/>
        </w:rPr>
        <w:t>公司</w:t>
      </w:r>
      <w:r>
        <w:rPr>
          <w:rFonts w:hint="eastAsia" w:ascii="仿宋" w:hAnsi="仿宋" w:eastAsia="仿宋"/>
          <w:color w:val="auto"/>
          <w:sz w:val="24"/>
          <w:highlight w:val="yellow"/>
          <w:lang w:eastAsia="zh-CN"/>
        </w:rPr>
        <w:t>（甘肃省兰州市兰州新区石羊河街1188号）采购</w:t>
      </w:r>
      <w:r>
        <w:rPr>
          <w:rFonts w:hint="eastAsia" w:ascii="仿宋" w:hAnsi="仿宋" w:eastAsia="仿宋"/>
          <w:color w:val="auto"/>
          <w:sz w:val="24"/>
          <w:highlight w:val="yellow"/>
        </w:rPr>
        <w:t>部，联系人：</w:t>
      </w:r>
      <w:r>
        <w:rPr>
          <w:rFonts w:hint="eastAsia" w:ascii="仿宋" w:hAnsi="仿宋" w:eastAsia="仿宋"/>
          <w:color w:val="auto"/>
          <w:sz w:val="24"/>
          <w:highlight w:val="yellow"/>
          <w:lang w:val="en-US" w:eastAsia="zh-CN"/>
        </w:rPr>
        <w:t xml:space="preserve">石磊 电话：15612450325 </w:t>
      </w:r>
      <w:r>
        <w:rPr>
          <w:rFonts w:hint="eastAsia" w:ascii="仿宋" w:hAnsi="仿宋" w:eastAsia="仿宋"/>
          <w:color w:val="auto"/>
          <w:sz w:val="24"/>
        </w:rPr>
        <w:t>逾期递交的投标文件恕不接收。</w:t>
      </w:r>
      <w:r>
        <w:rPr>
          <w:rFonts w:hint="eastAsia" w:ascii="仿宋" w:hAnsi="仿宋" w:eastAsia="仿宋"/>
          <w:color w:val="auto"/>
          <w:sz w:val="24"/>
        </w:rPr>
        <w:tab/>
      </w:r>
    </w:p>
    <w:p w14:paraId="59EDEB0F">
      <w:pPr>
        <w:spacing w:line="360" w:lineRule="auto"/>
        <w:ind w:firstLine="542" w:firstLineChars="225"/>
        <w:rPr>
          <w:rFonts w:hint="eastAsia" w:ascii="仿宋" w:hAnsi="仿宋" w:eastAsia="仿宋"/>
          <w:color w:val="auto"/>
          <w:sz w:val="24"/>
        </w:rPr>
      </w:pPr>
      <w:r>
        <w:rPr>
          <w:rFonts w:hint="eastAsia" w:ascii="仿宋" w:hAnsi="仿宋" w:eastAsia="仿宋"/>
          <w:b/>
          <w:bCs/>
          <w:color w:val="auto"/>
          <w:sz w:val="24"/>
          <w:highlight w:val="none"/>
          <w:lang w:val="en-US" w:eastAsia="zh-CN"/>
        </w:rPr>
        <w:t>八</w:t>
      </w:r>
      <w:r>
        <w:rPr>
          <w:rFonts w:hint="eastAsia" w:ascii="仿宋" w:hAnsi="仿宋" w:eastAsia="仿宋"/>
          <w:b/>
          <w:bCs/>
          <w:color w:val="auto"/>
          <w:sz w:val="24"/>
          <w:highlight w:val="none"/>
        </w:rPr>
        <w:t xml:space="preserve">、运输及交货： </w:t>
      </w:r>
    </w:p>
    <w:p w14:paraId="07D19738">
      <w:pPr>
        <w:spacing w:line="360" w:lineRule="auto"/>
        <w:ind w:firstLine="540" w:firstLineChars="225"/>
        <w:rPr>
          <w:rFonts w:hint="eastAsia" w:ascii="仿宋" w:hAnsi="仿宋" w:eastAsia="仿宋"/>
          <w:color w:val="auto"/>
          <w:sz w:val="24"/>
          <w:lang w:eastAsia="zh-CN"/>
        </w:rPr>
      </w:pPr>
      <w:r>
        <w:rPr>
          <w:rFonts w:hint="eastAsia" w:ascii="仿宋" w:hAnsi="仿宋" w:eastAsia="仿宋"/>
          <w:color w:val="auto"/>
          <w:sz w:val="24"/>
        </w:rPr>
        <w:t>1.1</w:t>
      </w:r>
      <w:r>
        <w:rPr>
          <w:rFonts w:hint="eastAsia" w:ascii="仿宋" w:hAnsi="仿宋" w:eastAsia="仿宋"/>
          <w:color w:val="auto"/>
          <w:sz w:val="24"/>
          <w:lang w:val="en-US" w:eastAsia="zh-CN"/>
        </w:rPr>
        <w:t xml:space="preserve"> </w:t>
      </w:r>
      <w:r>
        <w:rPr>
          <w:rFonts w:hint="eastAsia" w:ascii="仿宋" w:hAnsi="仿宋" w:eastAsia="仿宋"/>
          <w:color w:val="auto"/>
          <w:sz w:val="24"/>
        </w:rPr>
        <w:t>运输方式</w:t>
      </w:r>
      <w:r>
        <w:rPr>
          <w:rFonts w:hint="eastAsia" w:ascii="仿宋" w:hAnsi="仿宋" w:eastAsia="仿宋"/>
          <w:color w:val="auto"/>
          <w:sz w:val="24"/>
          <w:lang w:eastAsia="zh-CN"/>
        </w:rPr>
        <w:t>、</w:t>
      </w:r>
      <w:r>
        <w:rPr>
          <w:rFonts w:hint="eastAsia" w:ascii="仿宋" w:hAnsi="仿宋" w:eastAsia="仿宋"/>
          <w:color w:val="auto"/>
          <w:sz w:val="24"/>
        </w:rPr>
        <w:t>运费</w:t>
      </w:r>
      <w:r>
        <w:rPr>
          <w:rFonts w:hint="eastAsia" w:ascii="仿宋" w:hAnsi="仿宋" w:eastAsia="仿宋"/>
          <w:color w:val="auto"/>
          <w:sz w:val="24"/>
          <w:lang w:val="en-US" w:eastAsia="zh-CN"/>
        </w:rPr>
        <w:t>及安全责任</w:t>
      </w:r>
      <w:r>
        <w:rPr>
          <w:rFonts w:hint="eastAsia" w:ascii="仿宋" w:hAnsi="仿宋" w:eastAsia="仿宋"/>
          <w:color w:val="auto"/>
          <w:sz w:val="24"/>
        </w:rPr>
        <w:t>：由供方负责</w:t>
      </w:r>
      <w:r>
        <w:rPr>
          <w:rFonts w:hint="eastAsia" w:ascii="仿宋" w:hAnsi="仿宋" w:eastAsia="仿宋"/>
          <w:color w:val="auto"/>
          <w:sz w:val="24"/>
          <w:lang w:val="en-US" w:eastAsia="zh-CN"/>
        </w:rPr>
        <w:t>将货物</w:t>
      </w:r>
      <w:r>
        <w:rPr>
          <w:rFonts w:hint="eastAsia" w:ascii="仿宋" w:hAnsi="仿宋" w:eastAsia="仿宋"/>
          <w:color w:val="auto"/>
          <w:sz w:val="24"/>
        </w:rPr>
        <w:t>运到需方指定地点，并承担运送中所发生的</w:t>
      </w:r>
      <w:r>
        <w:rPr>
          <w:rFonts w:hint="eastAsia" w:ascii="仿宋" w:hAnsi="仿宋" w:eastAsia="仿宋"/>
          <w:color w:val="auto"/>
          <w:sz w:val="24"/>
          <w:lang w:val="en-US" w:eastAsia="zh-CN"/>
        </w:rPr>
        <w:t>一切</w:t>
      </w:r>
      <w:r>
        <w:rPr>
          <w:rFonts w:hint="eastAsia" w:ascii="仿宋" w:hAnsi="仿宋" w:eastAsia="仿宋"/>
          <w:color w:val="auto"/>
          <w:sz w:val="24"/>
        </w:rPr>
        <w:t>运输等费用</w:t>
      </w:r>
      <w:r>
        <w:rPr>
          <w:rFonts w:hint="eastAsia" w:ascii="仿宋" w:hAnsi="仿宋" w:eastAsia="仿宋"/>
          <w:color w:val="auto"/>
          <w:sz w:val="24"/>
          <w:lang w:eastAsia="zh-CN"/>
        </w:rPr>
        <w:t>；</w:t>
      </w:r>
      <w:r>
        <w:rPr>
          <w:rFonts w:hint="eastAsia" w:ascii="仿宋" w:hAnsi="仿宋" w:eastAsia="仿宋"/>
          <w:color w:val="auto"/>
          <w:sz w:val="24"/>
          <w:lang w:val="en-US" w:eastAsia="zh-CN"/>
        </w:rPr>
        <w:t>并由供方承担运输路途中货物、运输车辆、司乘人员的一切安全事务和责任</w:t>
      </w:r>
      <w:r>
        <w:rPr>
          <w:rFonts w:hint="eastAsia" w:ascii="仿宋" w:hAnsi="仿宋" w:eastAsia="仿宋"/>
          <w:color w:val="auto"/>
          <w:sz w:val="24"/>
          <w:lang w:eastAsia="zh-CN"/>
        </w:rPr>
        <w:t>；</w:t>
      </w:r>
    </w:p>
    <w:p w14:paraId="36664E0C">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1.2</w:t>
      </w:r>
      <w:r>
        <w:rPr>
          <w:rFonts w:hint="eastAsia" w:ascii="仿宋" w:hAnsi="仿宋" w:eastAsia="仿宋"/>
          <w:color w:val="auto"/>
          <w:sz w:val="24"/>
          <w:lang w:val="en-US" w:eastAsia="zh-CN"/>
        </w:rPr>
        <w:t xml:space="preserve"> </w:t>
      </w:r>
      <w:r>
        <w:rPr>
          <w:rFonts w:hint="eastAsia" w:ascii="仿宋" w:hAnsi="仿宋" w:eastAsia="仿宋"/>
          <w:color w:val="auto"/>
          <w:sz w:val="24"/>
        </w:rPr>
        <w:t>交货方式：供方接到需方订购单（或签订合同）后，供方及时发货，并确保 1</w:t>
      </w:r>
      <w:r>
        <w:rPr>
          <w:rFonts w:hint="eastAsia" w:ascii="仿宋" w:hAnsi="仿宋" w:eastAsia="仿宋"/>
          <w:color w:val="auto"/>
          <w:sz w:val="24"/>
          <w:lang w:val="en-US" w:eastAsia="zh-CN"/>
        </w:rPr>
        <w:t>0</w:t>
      </w:r>
      <w:r>
        <w:rPr>
          <w:rFonts w:hint="eastAsia" w:ascii="仿宋" w:hAnsi="仿宋" w:eastAsia="仿宋"/>
          <w:color w:val="auto"/>
          <w:sz w:val="24"/>
        </w:rPr>
        <w:t xml:space="preserve"> 日内货物到达需方指定地方，由需方人员现场进行外观验收，使用过程中的</w:t>
      </w:r>
      <w:r>
        <w:rPr>
          <w:rFonts w:hint="eastAsia" w:ascii="仿宋" w:hAnsi="仿宋" w:eastAsia="仿宋"/>
          <w:color w:val="auto"/>
          <w:sz w:val="24"/>
          <w:lang w:val="en-US" w:eastAsia="zh-CN"/>
        </w:rPr>
        <w:t>乙方产品</w:t>
      </w:r>
      <w:r>
        <w:rPr>
          <w:rFonts w:hint="eastAsia" w:ascii="仿宋" w:hAnsi="仿宋" w:eastAsia="仿宋"/>
          <w:color w:val="auto"/>
          <w:sz w:val="24"/>
        </w:rPr>
        <w:t>质量责任延续。</w:t>
      </w:r>
    </w:p>
    <w:p w14:paraId="5B4F2521">
      <w:pPr>
        <w:spacing w:line="360" w:lineRule="auto"/>
        <w:ind w:firstLine="542" w:firstLineChars="225"/>
        <w:rPr>
          <w:rFonts w:hint="eastAsia" w:ascii="仿宋" w:hAnsi="仿宋" w:eastAsia="仿宋"/>
          <w:b/>
          <w:bCs/>
          <w:color w:val="auto"/>
          <w:sz w:val="24"/>
        </w:rPr>
      </w:pPr>
      <w:r>
        <w:rPr>
          <w:rFonts w:hint="eastAsia" w:ascii="仿宋" w:hAnsi="仿宋" w:eastAsia="仿宋"/>
          <w:b/>
          <w:bCs/>
          <w:color w:val="auto"/>
          <w:sz w:val="24"/>
          <w:lang w:val="en-US" w:eastAsia="zh-CN"/>
        </w:rPr>
        <w:t>九</w:t>
      </w:r>
      <w:r>
        <w:rPr>
          <w:rFonts w:hint="eastAsia" w:ascii="仿宋" w:hAnsi="仿宋" w:eastAsia="仿宋"/>
          <w:b/>
          <w:bCs/>
          <w:color w:val="auto"/>
          <w:sz w:val="24"/>
        </w:rPr>
        <w:t>、评标和定标</w:t>
      </w:r>
    </w:p>
    <w:p w14:paraId="77DD5971">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1、评标小组成员由招标人组织甘肃前进现代农业发展集团有限公司招标委员会人员组成；</w:t>
      </w:r>
    </w:p>
    <w:p w14:paraId="06E5C807">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2、评标应遵循公平、公开、公正、科学、严谨的原则；</w:t>
      </w:r>
    </w:p>
    <w:p w14:paraId="00BEE629">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3、开标采取公开唱标的方式，评标委员会有疑问时，将会要求投标人单独澄清；</w:t>
      </w:r>
    </w:p>
    <w:p w14:paraId="1AD9D5A3">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4、在投标、评标过程中，如有投标方联合故意抬高报价或其他不正当行为时，招标方有权中止投标或评标；</w:t>
      </w:r>
    </w:p>
    <w:p w14:paraId="6CBB4FBF">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5、评标采用</w:t>
      </w:r>
      <w:r>
        <w:rPr>
          <w:rFonts w:hint="eastAsia" w:ascii="仿宋" w:hAnsi="仿宋" w:eastAsia="仿宋"/>
          <w:b/>
          <w:bCs/>
          <w:color w:val="auto"/>
          <w:sz w:val="24"/>
        </w:rPr>
        <w:t>综合评分办法，</w:t>
      </w:r>
      <w:r>
        <w:rPr>
          <w:rFonts w:hint="eastAsia" w:ascii="仿宋" w:hAnsi="仿宋" w:eastAsia="仿宋"/>
          <w:color w:val="auto"/>
          <w:sz w:val="24"/>
        </w:rPr>
        <w:t>投标人需进行</w:t>
      </w:r>
      <w:r>
        <w:rPr>
          <w:rFonts w:hint="eastAsia" w:ascii="仿宋" w:hAnsi="仿宋" w:eastAsia="仿宋"/>
          <w:b/>
          <w:bCs/>
          <w:color w:val="auto"/>
          <w:sz w:val="24"/>
        </w:rPr>
        <w:t>二轮报价</w:t>
      </w:r>
      <w:r>
        <w:rPr>
          <w:rFonts w:hint="eastAsia" w:ascii="仿宋" w:hAnsi="仿宋" w:eastAsia="仿宋"/>
          <w:color w:val="auto"/>
          <w:sz w:val="24"/>
        </w:rPr>
        <w:t>，评标小组按评标办法对标的物的价格、营销业绩、质量承诺、供货能力、结算条件及其他优惠条件等进行评议，在得分相同的情况下，价格作为中标的主要依据；</w:t>
      </w:r>
    </w:p>
    <w:p w14:paraId="6DE31EDD">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 xml:space="preserve">6、评标小组将依据现场实际情况形成《投标确认表》，并由投标人现场签字确认，作为中标后的合同签署重要内容之一，且具有法律追责效力； </w:t>
      </w:r>
    </w:p>
    <w:p w14:paraId="2B355EAD">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7、评标小组根据评标原则及办法，所有投标单位按照综合评审结果，依次排名推荐2名中标候选人。</w:t>
      </w:r>
    </w:p>
    <w:p w14:paraId="400EFD48">
      <w:pPr>
        <w:spacing w:line="360" w:lineRule="auto"/>
        <w:ind w:firstLine="542" w:firstLineChars="225"/>
        <w:rPr>
          <w:rFonts w:hint="eastAsia" w:ascii="仿宋" w:hAnsi="仿宋" w:eastAsia="仿宋"/>
          <w:color w:val="auto"/>
          <w:sz w:val="24"/>
        </w:rPr>
      </w:pPr>
      <w:r>
        <w:rPr>
          <w:rFonts w:hint="eastAsia" w:ascii="仿宋" w:hAnsi="仿宋" w:eastAsia="仿宋"/>
          <w:b/>
          <w:bCs/>
          <w:color w:val="auto"/>
          <w:sz w:val="24"/>
          <w:lang w:val="en-US" w:eastAsia="zh-CN"/>
        </w:rPr>
        <w:t>十</w:t>
      </w:r>
      <w:r>
        <w:rPr>
          <w:rFonts w:hint="eastAsia" w:ascii="仿宋" w:hAnsi="仿宋" w:eastAsia="仿宋"/>
          <w:b/>
          <w:bCs/>
          <w:color w:val="auto"/>
          <w:sz w:val="24"/>
        </w:rPr>
        <w:t>、中标人保证与服务：</w:t>
      </w:r>
      <w:r>
        <w:rPr>
          <w:rFonts w:hint="eastAsia" w:ascii="仿宋" w:hAnsi="仿宋" w:eastAsia="仿宋"/>
          <w:color w:val="auto"/>
          <w:sz w:val="24"/>
        </w:rPr>
        <w:tab/>
      </w:r>
    </w:p>
    <w:p w14:paraId="35B2FF9A">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lang w:val="en-US" w:eastAsia="zh-CN"/>
        </w:rPr>
        <w:t>1</w:t>
      </w:r>
      <w:r>
        <w:rPr>
          <w:rFonts w:hint="eastAsia" w:ascii="仿宋" w:hAnsi="仿宋" w:eastAsia="仿宋"/>
          <w:color w:val="auto"/>
          <w:sz w:val="24"/>
        </w:rPr>
        <w:t xml:space="preserve">、中标人应确保按期保质保量供货； </w:t>
      </w:r>
    </w:p>
    <w:p w14:paraId="61D9689B">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lang w:val="en-US" w:eastAsia="zh-CN"/>
        </w:rPr>
        <w:t>2</w:t>
      </w:r>
      <w:r>
        <w:rPr>
          <w:rFonts w:hint="eastAsia" w:ascii="仿宋" w:hAnsi="仿宋" w:eastAsia="仿宋"/>
          <w:color w:val="auto"/>
          <w:sz w:val="24"/>
        </w:rPr>
        <w:t xml:space="preserve">、中标人对产品的质量和卫生安全负完全责任； </w:t>
      </w:r>
    </w:p>
    <w:p w14:paraId="56AEFA42">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lang w:val="en-US" w:eastAsia="zh-CN"/>
        </w:rPr>
        <w:t>3</w:t>
      </w:r>
      <w:r>
        <w:rPr>
          <w:rFonts w:hint="eastAsia" w:ascii="仿宋" w:hAnsi="仿宋" w:eastAsia="仿宋"/>
          <w:color w:val="auto"/>
          <w:sz w:val="24"/>
        </w:rPr>
        <w:t>、中标人应提供每个批次的“质量检验报告”。</w:t>
      </w:r>
    </w:p>
    <w:p w14:paraId="46286DC8">
      <w:pPr>
        <w:spacing w:line="360" w:lineRule="auto"/>
        <w:ind w:firstLine="542" w:firstLineChars="225"/>
        <w:rPr>
          <w:rFonts w:hint="eastAsia" w:ascii="仿宋" w:hAnsi="仿宋" w:eastAsia="仿宋"/>
          <w:b/>
          <w:bCs/>
          <w:color w:val="auto"/>
          <w:sz w:val="24"/>
        </w:rPr>
      </w:pPr>
      <w:r>
        <w:rPr>
          <w:rFonts w:hint="eastAsia" w:ascii="仿宋" w:hAnsi="仿宋" w:eastAsia="仿宋"/>
          <w:b/>
          <w:bCs/>
          <w:color w:val="auto"/>
          <w:sz w:val="24"/>
        </w:rPr>
        <w:t>十</w:t>
      </w:r>
      <w:r>
        <w:rPr>
          <w:rFonts w:hint="eastAsia" w:ascii="仿宋" w:hAnsi="仿宋" w:eastAsia="仿宋"/>
          <w:b/>
          <w:bCs/>
          <w:color w:val="auto"/>
          <w:sz w:val="24"/>
          <w:lang w:val="en-US" w:eastAsia="zh-CN"/>
        </w:rPr>
        <w:t>一</w:t>
      </w:r>
      <w:r>
        <w:rPr>
          <w:rFonts w:hint="eastAsia" w:ascii="仿宋" w:hAnsi="仿宋" w:eastAsia="仿宋"/>
          <w:b/>
          <w:bCs/>
          <w:color w:val="auto"/>
          <w:sz w:val="24"/>
        </w:rPr>
        <w:t>、合同授予标准</w:t>
      </w:r>
    </w:p>
    <w:p w14:paraId="2BF06A83">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 xml:space="preserve">    招标人将把合同授予符合下述要求的投标人：</w:t>
      </w:r>
    </w:p>
    <w:p w14:paraId="273A2541">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1、投标人实质上响应了招标文件要求，并被鉴定为具有履行合同供货和售后服务的能力及经验和信誉；</w:t>
      </w:r>
    </w:p>
    <w:p w14:paraId="0929BF90">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2、满足本合同货物的技术参数、商务条款和运行要求；</w:t>
      </w:r>
    </w:p>
    <w:p w14:paraId="1A3020E2">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3、在供货及服务接口协调、协作等方面具有明显的优势和合理性；</w:t>
      </w:r>
    </w:p>
    <w:p w14:paraId="35521504">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4、投标报价被评为合理标价的；</w:t>
      </w:r>
    </w:p>
    <w:p w14:paraId="0DA00BA4">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5、合同谈判是成功的。</w:t>
      </w:r>
    </w:p>
    <w:p w14:paraId="61D61B69">
      <w:pPr>
        <w:spacing w:line="360" w:lineRule="auto"/>
        <w:ind w:firstLine="542" w:firstLineChars="225"/>
        <w:rPr>
          <w:rFonts w:hint="eastAsia" w:ascii="仿宋" w:hAnsi="仿宋" w:eastAsia="仿宋"/>
          <w:color w:val="auto"/>
          <w:sz w:val="24"/>
        </w:rPr>
      </w:pPr>
      <w:r>
        <w:rPr>
          <w:rFonts w:hint="eastAsia" w:ascii="仿宋" w:hAnsi="仿宋" w:eastAsia="仿宋"/>
          <w:b/>
          <w:bCs/>
          <w:color w:val="auto"/>
          <w:sz w:val="24"/>
        </w:rPr>
        <w:t>十</w:t>
      </w:r>
      <w:r>
        <w:rPr>
          <w:rFonts w:hint="eastAsia" w:ascii="仿宋" w:hAnsi="仿宋" w:eastAsia="仿宋"/>
          <w:b/>
          <w:bCs/>
          <w:color w:val="auto"/>
          <w:sz w:val="24"/>
          <w:lang w:val="en-US" w:eastAsia="zh-CN"/>
        </w:rPr>
        <w:t>二</w:t>
      </w:r>
      <w:r>
        <w:rPr>
          <w:rFonts w:hint="eastAsia" w:ascii="仿宋" w:hAnsi="仿宋" w:eastAsia="仿宋"/>
          <w:b/>
          <w:bCs/>
          <w:color w:val="auto"/>
          <w:sz w:val="24"/>
        </w:rPr>
        <w:t>、招标人在授标时保留的权利</w:t>
      </w:r>
    </w:p>
    <w:p w14:paraId="0542727C">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1、招标人在授标前有权接受和拒绝任何投标，宣布投标程序无效或拒绝所有投标，且无须向受影响的投标人承担任何责任，也无须将理由通知受影响的投标人；</w:t>
      </w:r>
    </w:p>
    <w:p w14:paraId="23DBA478">
      <w:pPr>
        <w:spacing w:line="360" w:lineRule="auto"/>
        <w:ind w:firstLine="540" w:firstLineChars="225"/>
        <w:rPr>
          <w:rFonts w:hint="eastAsia" w:ascii="仿宋" w:hAnsi="仿宋" w:eastAsia="仿宋"/>
          <w:color w:val="auto"/>
          <w:sz w:val="24"/>
          <w:lang w:eastAsia="zh-CN"/>
        </w:rPr>
      </w:pPr>
      <w:r>
        <w:rPr>
          <w:rFonts w:hint="eastAsia" w:ascii="仿宋" w:hAnsi="仿宋" w:eastAsia="仿宋"/>
          <w:color w:val="auto"/>
          <w:sz w:val="24"/>
        </w:rPr>
        <w:t>2、招标方在授予合同时，有权对“</w:t>
      </w:r>
      <w:r>
        <w:rPr>
          <w:rFonts w:hint="eastAsia" w:ascii="仿宋" w:hAnsi="仿宋" w:eastAsia="仿宋"/>
          <w:color w:val="auto"/>
          <w:sz w:val="24"/>
          <w:lang w:val="en-US" w:eastAsia="zh-CN"/>
        </w:rPr>
        <w:t>纸箱</w:t>
      </w:r>
      <w:r>
        <w:rPr>
          <w:rFonts w:hint="eastAsia" w:ascii="仿宋" w:hAnsi="仿宋" w:eastAsia="仿宋"/>
          <w:color w:val="auto"/>
          <w:sz w:val="24"/>
        </w:rPr>
        <w:t>的品种、数量、技术标准”中规定的数量增加或减少</w:t>
      </w:r>
      <w:r>
        <w:rPr>
          <w:rFonts w:hint="eastAsia" w:ascii="仿宋" w:hAnsi="仿宋" w:eastAsia="仿宋"/>
          <w:color w:val="auto"/>
          <w:sz w:val="24"/>
          <w:lang w:eastAsia="zh-CN"/>
        </w:rPr>
        <w:t>；</w:t>
      </w:r>
    </w:p>
    <w:p w14:paraId="74CA40D8">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 xml:space="preserve">3、评标小组不向落标方解释原因，不退还投标文件。  </w:t>
      </w:r>
    </w:p>
    <w:p w14:paraId="5483E401">
      <w:pPr>
        <w:spacing w:line="360" w:lineRule="auto"/>
        <w:ind w:firstLine="542" w:firstLineChars="225"/>
        <w:rPr>
          <w:rFonts w:hint="eastAsia" w:ascii="仿宋" w:hAnsi="仿宋" w:eastAsia="仿宋"/>
          <w:color w:val="auto"/>
          <w:sz w:val="24"/>
        </w:rPr>
      </w:pPr>
      <w:r>
        <w:rPr>
          <w:rFonts w:hint="eastAsia" w:ascii="仿宋" w:hAnsi="仿宋" w:eastAsia="仿宋"/>
          <w:b/>
          <w:bCs/>
          <w:color w:val="auto"/>
          <w:sz w:val="24"/>
        </w:rPr>
        <w:t>十</w:t>
      </w:r>
      <w:r>
        <w:rPr>
          <w:rFonts w:hint="eastAsia" w:ascii="仿宋" w:hAnsi="仿宋" w:eastAsia="仿宋"/>
          <w:b/>
          <w:bCs/>
          <w:color w:val="auto"/>
          <w:sz w:val="24"/>
          <w:lang w:val="en-US" w:eastAsia="zh-CN"/>
        </w:rPr>
        <w:t>三</w:t>
      </w:r>
      <w:r>
        <w:rPr>
          <w:rFonts w:hint="eastAsia" w:ascii="仿宋" w:hAnsi="仿宋" w:eastAsia="仿宋"/>
          <w:b/>
          <w:bCs/>
          <w:color w:val="auto"/>
          <w:sz w:val="24"/>
        </w:rPr>
        <w:t>、中标通知</w:t>
      </w:r>
    </w:p>
    <w:p w14:paraId="45DE7714">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1、在投标有效期内，招标人将以中标通知书的方式通知中标人，确认其投标被接受；</w:t>
      </w:r>
    </w:p>
    <w:p w14:paraId="5EE8C4AF">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2、招标文件、中标通知书将成为合同文件的组成部分；</w:t>
      </w:r>
    </w:p>
    <w:p w14:paraId="58390A6B">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3、中标人应在中标通知书规定的日期内，或在招标人认可的延期内到招标单位签订合同书。</w:t>
      </w:r>
    </w:p>
    <w:p w14:paraId="1C18DD8F">
      <w:pPr>
        <w:spacing w:line="360" w:lineRule="auto"/>
        <w:ind w:firstLine="540" w:firstLineChars="225"/>
        <w:rPr>
          <w:rFonts w:hint="eastAsia" w:ascii="仿宋" w:hAnsi="仿宋" w:eastAsia="仿宋"/>
          <w:color w:val="auto"/>
          <w:sz w:val="24"/>
        </w:rPr>
      </w:pPr>
    </w:p>
    <w:p w14:paraId="69980621">
      <w:pPr>
        <w:spacing w:line="360" w:lineRule="auto"/>
        <w:ind w:firstLine="542" w:firstLineChars="225"/>
        <w:rPr>
          <w:rFonts w:hint="eastAsia" w:ascii="仿宋" w:hAnsi="仿宋" w:eastAsia="仿宋"/>
          <w:color w:val="auto"/>
          <w:sz w:val="24"/>
        </w:rPr>
      </w:pPr>
      <w:r>
        <w:rPr>
          <w:rFonts w:hint="eastAsia" w:ascii="仿宋" w:hAnsi="仿宋" w:eastAsia="仿宋"/>
          <w:b/>
          <w:bCs/>
          <w:color w:val="auto"/>
          <w:sz w:val="24"/>
        </w:rPr>
        <w:t>十</w:t>
      </w:r>
      <w:r>
        <w:rPr>
          <w:rFonts w:hint="eastAsia" w:ascii="仿宋" w:hAnsi="仿宋" w:eastAsia="仿宋"/>
          <w:b/>
          <w:bCs/>
          <w:color w:val="auto"/>
          <w:sz w:val="24"/>
          <w:lang w:val="en-US" w:eastAsia="zh-CN"/>
        </w:rPr>
        <w:t>四</w:t>
      </w:r>
      <w:r>
        <w:rPr>
          <w:rFonts w:hint="eastAsia" w:ascii="仿宋" w:hAnsi="仿宋" w:eastAsia="仿宋"/>
          <w:b/>
          <w:bCs/>
          <w:color w:val="auto"/>
          <w:sz w:val="24"/>
        </w:rPr>
        <w:t>、合同的签订：</w:t>
      </w:r>
    </w:p>
    <w:p w14:paraId="1F7289C0">
      <w:pPr>
        <w:spacing w:line="360" w:lineRule="auto"/>
        <w:ind w:firstLine="540" w:firstLineChars="225"/>
        <w:rPr>
          <w:rFonts w:hint="eastAsia" w:ascii="仿宋" w:hAnsi="仿宋" w:eastAsia="仿宋"/>
          <w:color w:val="auto"/>
          <w:sz w:val="24"/>
          <w:lang w:eastAsia="zh-CN"/>
        </w:rPr>
      </w:pPr>
      <w:r>
        <w:rPr>
          <w:rFonts w:hint="eastAsia" w:ascii="仿宋" w:hAnsi="仿宋" w:eastAsia="仿宋"/>
          <w:color w:val="auto"/>
          <w:sz w:val="24"/>
        </w:rPr>
        <w:t>1、中标单位应按通知中指定的日期准时到指定地点或方式签署合同书</w:t>
      </w:r>
      <w:r>
        <w:rPr>
          <w:rFonts w:hint="eastAsia" w:ascii="仿宋" w:hAnsi="仿宋" w:eastAsia="仿宋"/>
          <w:color w:val="auto"/>
          <w:sz w:val="24"/>
          <w:lang w:eastAsia="zh-CN"/>
        </w:rPr>
        <w:t>；</w:t>
      </w:r>
    </w:p>
    <w:p w14:paraId="631A308D">
      <w:pPr>
        <w:spacing w:line="360" w:lineRule="auto"/>
        <w:ind w:firstLine="540" w:firstLineChars="225"/>
        <w:rPr>
          <w:rFonts w:hint="eastAsia" w:ascii="仿宋" w:hAnsi="仿宋" w:eastAsia="仿宋"/>
          <w:color w:val="auto"/>
          <w:sz w:val="24"/>
          <w:lang w:eastAsia="zh-CN"/>
        </w:rPr>
      </w:pPr>
      <w:r>
        <w:rPr>
          <w:rFonts w:hint="eastAsia" w:ascii="仿宋" w:hAnsi="仿宋" w:eastAsia="仿宋"/>
          <w:color w:val="auto"/>
          <w:sz w:val="24"/>
        </w:rPr>
        <w:t>2、逾期或不履约者视为放弃，并取消合格供应商资格在今后的招标中不予邀请</w:t>
      </w:r>
      <w:r>
        <w:rPr>
          <w:rFonts w:hint="eastAsia" w:ascii="仿宋" w:hAnsi="仿宋" w:eastAsia="仿宋"/>
          <w:color w:val="auto"/>
          <w:sz w:val="24"/>
          <w:lang w:eastAsia="zh-CN"/>
        </w:rPr>
        <w:t>；</w:t>
      </w:r>
    </w:p>
    <w:p w14:paraId="68AAC5BC">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3、合同允许包含本招标文件中的内容，以及招标现场形成的协商内容。</w:t>
      </w:r>
    </w:p>
    <w:p w14:paraId="0F2BAB42">
      <w:pPr>
        <w:spacing w:line="360" w:lineRule="auto"/>
        <w:ind w:firstLine="542" w:firstLineChars="225"/>
        <w:rPr>
          <w:rFonts w:hint="eastAsia" w:ascii="仿宋" w:hAnsi="仿宋" w:eastAsia="仿宋"/>
          <w:b/>
          <w:bCs/>
          <w:color w:val="auto"/>
          <w:sz w:val="24"/>
        </w:rPr>
      </w:pPr>
      <w:r>
        <w:rPr>
          <w:rFonts w:hint="eastAsia" w:ascii="仿宋" w:hAnsi="仿宋" w:eastAsia="仿宋"/>
          <w:b/>
          <w:bCs/>
          <w:color w:val="auto"/>
          <w:sz w:val="24"/>
        </w:rPr>
        <w:t>十</w:t>
      </w:r>
      <w:r>
        <w:rPr>
          <w:rFonts w:hint="eastAsia" w:ascii="仿宋" w:hAnsi="仿宋" w:eastAsia="仿宋"/>
          <w:b/>
          <w:bCs/>
          <w:color w:val="auto"/>
          <w:sz w:val="24"/>
          <w:lang w:val="en-US" w:eastAsia="zh-CN"/>
        </w:rPr>
        <w:t>五</w:t>
      </w:r>
      <w:r>
        <w:rPr>
          <w:rFonts w:hint="eastAsia" w:ascii="仿宋" w:hAnsi="仿宋" w:eastAsia="仿宋"/>
          <w:b/>
          <w:bCs/>
          <w:color w:val="auto"/>
          <w:sz w:val="24"/>
        </w:rPr>
        <w:t>、结算方式：</w:t>
      </w:r>
    </w:p>
    <w:p w14:paraId="407C744A">
      <w:pPr>
        <w:spacing w:line="360" w:lineRule="auto"/>
        <w:ind w:firstLine="540" w:firstLineChars="225"/>
        <w:rPr>
          <w:rFonts w:hint="eastAsia" w:ascii="仿宋" w:hAnsi="仿宋" w:eastAsia="仿宋"/>
          <w:color w:val="auto"/>
          <w:sz w:val="24"/>
          <w:lang w:val="en-US" w:eastAsia="zh-CN"/>
        </w:rPr>
      </w:pPr>
      <w:r>
        <w:rPr>
          <w:rFonts w:hint="eastAsia" w:ascii="仿宋" w:hAnsi="仿宋" w:eastAsia="仿宋"/>
          <w:color w:val="auto"/>
          <w:sz w:val="24"/>
          <w:lang w:val="en-US" w:eastAsia="zh-CN"/>
        </w:rPr>
        <w:t>货物按工厂要求到货后，甲方质检合格，按契约价格入库，乙方开具13%增值税专用发票，自入库之日起</w:t>
      </w:r>
      <w:r>
        <w:rPr>
          <w:rFonts w:hint="eastAsia" w:ascii="仿宋" w:hAnsi="仿宋" w:eastAsia="仿宋"/>
          <w:color w:val="auto"/>
          <w:sz w:val="24"/>
          <w:highlight w:val="yellow"/>
          <w:lang w:val="en-US" w:eastAsia="zh-CN"/>
        </w:rPr>
        <w:t>120天</w:t>
      </w:r>
      <w:r>
        <w:rPr>
          <w:rFonts w:hint="eastAsia" w:ascii="仿宋" w:hAnsi="仿宋" w:eastAsia="仿宋"/>
          <w:color w:val="auto"/>
          <w:sz w:val="24"/>
          <w:lang w:val="en-US" w:eastAsia="zh-CN"/>
        </w:rPr>
        <w:t>内付清账期内货款。（结算方式可在投标差异表中进行阐述，做为评分条件之一）</w:t>
      </w:r>
    </w:p>
    <w:p w14:paraId="3F9A568B">
      <w:pPr>
        <w:spacing w:line="360" w:lineRule="auto"/>
        <w:ind w:firstLine="542" w:firstLineChars="225"/>
        <w:rPr>
          <w:rFonts w:hint="eastAsia" w:ascii="仿宋" w:hAnsi="仿宋" w:eastAsia="仿宋"/>
          <w:b/>
          <w:bCs/>
          <w:color w:val="auto"/>
          <w:sz w:val="24"/>
        </w:rPr>
      </w:pPr>
      <w:r>
        <w:rPr>
          <w:rFonts w:hint="eastAsia" w:ascii="仿宋" w:hAnsi="仿宋" w:eastAsia="仿宋"/>
          <w:b/>
          <w:bCs/>
          <w:color w:val="auto"/>
          <w:sz w:val="24"/>
        </w:rPr>
        <w:t>十</w:t>
      </w:r>
      <w:r>
        <w:rPr>
          <w:rFonts w:hint="eastAsia" w:ascii="仿宋" w:hAnsi="仿宋" w:eastAsia="仿宋"/>
          <w:b/>
          <w:bCs/>
          <w:color w:val="auto"/>
          <w:sz w:val="24"/>
          <w:lang w:val="en-US" w:eastAsia="zh-CN"/>
        </w:rPr>
        <w:t>六</w:t>
      </w:r>
      <w:r>
        <w:rPr>
          <w:rFonts w:hint="eastAsia" w:ascii="仿宋" w:hAnsi="仿宋" w:eastAsia="仿宋"/>
          <w:b/>
          <w:bCs/>
          <w:color w:val="auto"/>
          <w:sz w:val="24"/>
        </w:rPr>
        <w:t>、合同条款</w:t>
      </w:r>
      <w:r>
        <w:rPr>
          <w:rFonts w:hint="eastAsia" w:ascii="仿宋" w:hAnsi="仿宋" w:eastAsia="仿宋"/>
          <w:b/>
          <w:bCs/>
          <w:color w:val="auto"/>
          <w:sz w:val="24"/>
          <w:lang w:val="en-US" w:eastAsia="zh-CN"/>
        </w:rPr>
        <w:t>及格式</w:t>
      </w:r>
      <w:r>
        <w:rPr>
          <w:rFonts w:hint="eastAsia" w:ascii="仿宋" w:hAnsi="仿宋" w:eastAsia="仿宋"/>
          <w:b/>
          <w:bCs/>
          <w:color w:val="auto"/>
          <w:sz w:val="24"/>
        </w:rPr>
        <w:t>：</w:t>
      </w:r>
    </w:p>
    <w:p w14:paraId="0E8A4DDF">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lang w:eastAsia="zh-CN"/>
        </w:rPr>
        <w:t>采购合同</w:t>
      </w:r>
      <w:r>
        <w:rPr>
          <w:rFonts w:hint="eastAsia" w:ascii="仿宋" w:hAnsi="仿宋" w:eastAsia="仿宋"/>
          <w:color w:val="auto"/>
          <w:sz w:val="24"/>
        </w:rPr>
        <w:t xml:space="preserve">  </w:t>
      </w:r>
    </w:p>
    <w:p w14:paraId="59CEA4A6">
      <w:pPr>
        <w:spacing w:line="360" w:lineRule="auto"/>
        <w:ind w:firstLine="540" w:firstLineChars="225"/>
        <w:rPr>
          <w:rFonts w:hint="eastAsia" w:ascii="仿宋" w:hAnsi="仿宋" w:eastAsia="仿宋"/>
          <w:color w:val="auto"/>
          <w:sz w:val="24"/>
          <w:lang w:val="en-US" w:eastAsia="zh-CN"/>
        </w:rPr>
      </w:pPr>
      <w:r>
        <w:rPr>
          <w:rFonts w:hint="eastAsia" w:ascii="仿宋" w:hAnsi="仿宋" w:eastAsia="仿宋"/>
          <w:color w:val="auto"/>
          <w:sz w:val="24"/>
        </w:rPr>
        <w:t>甲    方：</w:t>
      </w:r>
      <w:r>
        <w:rPr>
          <w:rFonts w:hint="eastAsia" w:ascii="仿宋" w:hAnsi="仿宋" w:eastAsia="仿宋"/>
          <w:color w:val="auto"/>
          <w:sz w:val="24"/>
          <w:lang w:val="en-US" w:eastAsia="zh-CN"/>
        </w:rPr>
        <w:t xml:space="preserve">甘肃传祁乳业有限公司、 </w:t>
      </w:r>
      <w:r>
        <w:rPr>
          <w:rFonts w:hint="eastAsia" w:ascii="仿宋" w:hAnsi="仿宋" w:eastAsia="仿宋"/>
          <w:color w:val="auto"/>
          <w:sz w:val="24"/>
        </w:rPr>
        <w:t>甘肃传祁</w:t>
      </w:r>
      <w:r>
        <w:rPr>
          <w:rFonts w:hint="eastAsia" w:ascii="仿宋" w:hAnsi="仿宋" w:eastAsia="仿宋"/>
          <w:color w:val="auto"/>
          <w:sz w:val="24"/>
          <w:lang w:val="en-US" w:eastAsia="zh-CN"/>
        </w:rPr>
        <w:t>甘味</w:t>
      </w:r>
      <w:r>
        <w:rPr>
          <w:rFonts w:hint="eastAsia" w:ascii="仿宋" w:hAnsi="仿宋" w:eastAsia="仿宋"/>
          <w:color w:val="auto"/>
          <w:sz w:val="24"/>
        </w:rPr>
        <w:t>乳业有限</w:t>
      </w:r>
      <w:r>
        <w:rPr>
          <w:rFonts w:hint="eastAsia" w:ascii="仿宋" w:hAnsi="仿宋" w:eastAsia="仿宋"/>
          <w:color w:val="auto"/>
          <w:sz w:val="24"/>
          <w:lang w:val="en-US" w:eastAsia="zh-CN"/>
        </w:rPr>
        <w:t>责任</w:t>
      </w:r>
      <w:r>
        <w:rPr>
          <w:rFonts w:hint="eastAsia" w:ascii="仿宋" w:hAnsi="仿宋" w:eastAsia="仿宋"/>
          <w:color w:val="auto"/>
          <w:sz w:val="24"/>
        </w:rPr>
        <w:t>公司</w:t>
      </w:r>
      <w:r>
        <w:rPr>
          <w:rFonts w:hint="eastAsia" w:ascii="仿宋" w:hAnsi="仿宋" w:eastAsia="仿宋"/>
          <w:color w:val="auto"/>
          <w:sz w:val="24"/>
          <w:lang w:val="en-US" w:eastAsia="zh-CN"/>
        </w:rPr>
        <w:t xml:space="preserve">                          </w:t>
      </w:r>
    </w:p>
    <w:p w14:paraId="1E82C061">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乙    方：</w:t>
      </w:r>
      <w:bookmarkStart w:id="3" w:name="OLE_LINK1"/>
      <w:r>
        <w:rPr>
          <w:rFonts w:hint="eastAsia" w:ascii="仿宋" w:hAnsi="仿宋" w:eastAsia="仿宋"/>
          <w:color w:val="auto"/>
          <w:sz w:val="24"/>
        </w:rPr>
        <w:t xml:space="preserve"> </w:t>
      </w:r>
      <w:bookmarkEnd w:id="3"/>
      <w:r>
        <w:rPr>
          <w:rFonts w:hint="eastAsia" w:ascii="仿宋" w:hAnsi="仿宋" w:eastAsia="仿宋"/>
          <w:color w:val="auto"/>
          <w:sz w:val="24"/>
        </w:rPr>
        <w:t xml:space="preserve"> </w:t>
      </w:r>
      <w:r>
        <w:rPr>
          <w:rFonts w:hint="eastAsia" w:ascii="仿宋" w:hAnsi="仿宋" w:eastAsia="仿宋"/>
          <w:color w:val="auto"/>
          <w:sz w:val="24"/>
          <w:lang w:val="en-US" w:eastAsia="zh-CN"/>
        </w:rPr>
        <w:t xml:space="preserve">                        </w:t>
      </w:r>
      <w:r>
        <w:rPr>
          <w:rFonts w:hint="eastAsia" w:ascii="仿宋" w:hAnsi="仿宋" w:eastAsia="仿宋"/>
          <w:color w:val="auto"/>
          <w:sz w:val="24"/>
        </w:rPr>
        <w:t xml:space="preserve">  </w:t>
      </w:r>
    </w:p>
    <w:p w14:paraId="5E0AC7D0">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一、物资名称、规格型号、品牌、数量及金额、交货时间</w:t>
      </w:r>
    </w:p>
    <w:p w14:paraId="03DBF08A">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二、质量要求、技术标准、供方对质量负责的条件：</w:t>
      </w:r>
    </w:p>
    <w:p w14:paraId="6D916930">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三、交货期限，地点、风险及费用负担：</w:t>
      </w:r>
    </w:p>
    <w:p w14:paraId="502360B3">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lang w:val="en-US" w:eastAsia="zh-CN"/>
        </w:rPr>
        <w:t>四</w:t>
      </w:r>
      <w:r>
        <w:rPr>
          <w:rFonts w:hint="eastAsia" w:ascii="仿宋" w:hAnsi="仿宋" w:eastAsia="仿宋"/>
          <w:color w:val="auto"/>
          <w:sz w:val="24"/>
        </w:rPr>
        <w:t>、所有权的转移</w:t>
      </w:r>
    </w:p>
    <w:p w14:paraId="65E50A82">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lang w:val="en-US" w:eastAsia="zh-CN"/>
        </w:rPr>
        <w:t>五、运输方式、</w:t>
      </w:r>
      <w:r>
        <w:rPr>
          <w:rFonts w:hint="eastAsia" w:ascii="仿宋" w:hAnsi="仿宋" w:eastAsia="仿宋"/>
          <w:color w:val="auto"/>
          <w:sz w:val="24"/>
        </w:rPr>
        <w:t>运费、仓储费用的承担</w:t>
      </w:r>
    </w:p>
    <w:p w14:paraId="0AFFAF59">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lang w:eastAsia="zh-CN"/>
        </w:rPr>
        <w:t>六、</w:t>
      </w:r>
      <w:r>
        <w:rPr>
          <w:rFonts w:hint="eastAsia" w:ascii="仿宋" w:hAnsi="仿宋" w:eastAsia="仿宋"/>
          <w:color w:val="auto"/>
          <w:sz w:val="24"/>
        </w:rPr>
        <w:t>货物毁损或灭失风险的承担</w:t>
      </w:r>
    </w:p>
    <w:p w14:paraId="00711080">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lang w:eastAsia="zh-CN"/>
        </w:rPr>
        <w:t>七、</w:t>
      </w:r>
      <w:r>
        <w:rPr>
          <w:rFonts w:hint="eastAsia" w:ascii="仿宋" w:hAnsi="仿宋" w:eastAsia="仿宋"/>
          <w:color w:val="auto"/>
          <w:sz w:val="24"/>
        </w:rPr>
        <w:t>付款期限及方式</w:t>
      </w:r>
    </w:p>
    <w:p w14:paraId="5D12B7E7">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八、合同期限</w:t>
      </w:r>
    </w:p>
    <w:p w14:paraId="3F01D2A1">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lang w:eastAsia="zh-CN"/>
        </w:rPr>
        <w:t>九、</w:t>
      </w:r>
      <w:r>
        <w:rPr>
          <w:rFonts w:hint="eastAsia" w:ascii="仿宋" w:hAnsi="仿宋" w:eastAsia="仿宋"/>
          <w:color w:val="auto"/>
          <w:sz w:val="24"/>
        </w:rPr>
        <w:t>合同的解除</w:t>
      </w:r>
    </w:p>
    <w:p w14:paraId="0BA5D696">
      <w:pPr>
        <w:spacing w:line="360" w:lineRule="auto"/>
        <w:ind w:firstLine="540" w:firstLineChars="225"/>
        <w:rPr>
          <w:rFonts w:hint="eastAsia" w:ascii="仿宋" w:hAnsi="仿宋" w:eastAsia="仿宋"/>
          <w:color w:val="auto"/>
          <w:sz w:val="24"/>
          <w:lang w:val="en-US" w:eastAsia="zh-CN"/>
        </w:rPr>
      </w:pPr>
      <w:r>
        <w:rPr>
          <w:rFonts w:hint="eastAsia" w:ascii="仿宋" w:hAnsi="仿宋" w:eastAsia="仿宋"/>
          <w:color w:val="auto"/>
          <w:sz w:val="24"/>
        </w:rPr>
        <w:t>十</w:t>
      </w:r>
      <w:r>
        <w:rPr>
          <w:rFonts w:hint="eastAsia" w:ascii="仿宋" w:hAnsi="仿宋" w:eastAsia="仿宋"/>
          <w:color w:val="auto"/>
          <w:sz w:val="24"/>
          <w:lang w:eastAsia="zh-CN"/>
        </w:rPr>
        <w:t>、</w:t>
      </w:r>
      <w:r>
        <w:rPr>
          <w:rFonts w:hint="eastAsia" w:ascii="仿宋" w:hAnsi="仿宋" w:eastAsia="仿宋"/>
          <w:color w:val="auto"/>
          <w:sz w:val="24"/>
        </w:rPr>
        <w:t>货物质量争议的解决</w:t>
      </w:r>
    </w:p>
    <w:p w14:paraId="681E55D5">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lang w:val="en-US" w:eastAsia="zh-CN"/>
        </w:rPr>
        <w:t>1、</w:t>
      </w:r>
      <w:r>
        <w:rPr>
          <w:rFonts w:hint="eastAsia" w:ascii="仿宋" w:hAnsi="仿宋" w:eastAsia="仿宋"/>
          <w:color w:val="auto"/>
          <w:sz w:val="24"/>
        </w:rPr>
        <w:t>保证承诺：</w:t>
      </w:r>
    </w:p>
    <w:p w14:paraId="2EEB8F86">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质量保证及售后服务</w:t>
      </w:r>
    </w:p>
    <w:p w14:paraId="26E13BF3">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产品质量保证期及服务要求</w:t>
      </w:r>
    </w:p>
    <w:p w14:paraId="45F632AF">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竞选人所供产品的质保期从最终验收合格之日起计算，时间不低于 12 个月。</w:t>
      </w:r>
    </w:p>
    <w:p w14:paraId="03CC0D8D">
      <w:pPr>
        <w:keepNext w:val="0"/>
        <w:keepLines w:val="0"/>
        <w:pageBreakBefore w:val="0"/>
        <w:widowControl w:val="0"/>
        <w:kinsoku/>
        <w:wordWrap/>
        <w:overflowPunct/>
        <w:topLinePunct w:val="0"/>
        <w:autoSpaceDE w:val="0"/>
        <w:autoSpaceDN w:val="0"/>
        <w:bidi w:val="0"/>
        <w:adjustRightInd w:val="0"/>
        <w:snapToGrid w:val="0"/>
        <w:spacing w:line="360" w:lineRule="auto"/>
        <w:ind w:firstLine="540" w:firstLineChars="225"/>
        <w:textAlignment w:val="auto"/>
        <w:rPr>
          <w:rFonts w:hint="default" w:ascii="仿宋" w:hAnsi="仿宋" w:eastAsia="仿宋"/>
          <w:color w:val="auto"/>
          <w:sz w:val="24"/>
          <w:lang w:val="en-US" w:eastAsia="zh-CN"/>
        </w:rPr>
        <w:sectPr>
          <w:headerReference r:id="rId4" w:type="default"/>
          <w:pgSz w:w="11907" w:h="16840"/>
          <w:pgMar w:top="987" w:right="1358" w:bottom="0" w:left="1418" w:header="973" w:footer="0" w:gutter="0"/>
          <w:cols w:space="720" w:num="1"/>
        </w:sectPr>
      </w:pPr>
      <w:r>
        <w:rPr>
          <w:rFonts w:hint="eastAsia" w:ascii="仿宋" w:hAnsi="仿宋" w:eastAsia="仿宋"/>
          <w:color w:val="auto"/>
          <w:sz w:val="24"/>
        </w:rPr>
        <w:t>在质保期内，竞选人应无条件负责所供产品的可靠性，并及时到</w:t>
      </w:r>
      <w:r>
        <w:rPr>
          <w:rFonts w:hint="eastAsia" w:ascii="仿宋" w:hAnsi="仿宋" w:eastAsia="仿宋"/>
          <w:color w:val="auto"/>
          <w:sz w:val="24"/>
          <w:lang w:val="en-US" w:eastAsia="zh-CN"/>
        </w:rPr>
        <w:t>现场</w:t>
      </w:r>
    </w:p>
    <w:p w14:paraId="44FB0593">
      <w:pPr>
        <w:spacing w:line="360" w:lineRule="auto"/>
        <w:rPr>
          <w:rFonts w:hint="eastAsia" w:ascii="仿宋" w:hAnsi="仿宋" w:eastAsia="仿宋"/>
          <w:color w:val="auto"/>
          <w:sz w:val="24"/>
        </w:rPr>
      </w:pPr>
      <w:r>
        <w:rPr>
          <w:rFonts w:hint="eastAsia" w:ascii="仿宋" w:hAnsi="仿宋" w:eastAsia="仿宋"/>
          <w:color w:val="auto"/>
          <w:sz w:val="24"/>
        </w:rPr>
        <w:t>指导作业、优化清洗方案解决问题。</w:t>
      </w:r>
    </w:p>
    <w:p w14:paraId="6C2A3DA3">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竞选人应提供采购人所在地的协议售后服务人员的联系方式，且在服 务期限内无条件负责所供产品的质量问题承诺接到异常报告 12 小时内到现场、24 小时内解决问题；</w:t>
      </w:r>
    </w:p>
    <w:p w14:paraId="49286E07">
      <w:pPr>
        <w:spacing w:line="360" w:lineRule="auto"/>
        <w:ind w:firstLine="540" w:firstLineChars="225"/>
        <w:rPr>
          <w:rFonts w:hint="eastAsia" w:ascii="仿宋" w:hAnsi="仿宋" w:eastAsia="仿宋"/>
          <w:color w:val="auto"/>
          <w:sz w:val="24"/>
          <w:lang w:eastAsia="zh-CN"/>
        </w:rPr>
      </w:pPr>
      <w:r>
        <w:rPr>
          <w:rFonts w:hint="eastAsia" w:ascii="仿宋" w:hAnsi="仿宋" w:eastAsia="仿宋"/>
          <w:color w:val="auto"/>
          <w:sz w:val="24"/>
          <w:lang w:val="en-US" w:eastAsia="zh-CN"/>
        </w:rPr>
        <w:t>（2）</w:t>
      </w:r>
      <w:r>
        <w:rPr>
          <w:rFonts w:hint="eastAsia" w:ascii="仿宋" w:hAnsi="仿宋" w:eastAsia="仿宋"/>
          <w:color w:val="auto"/>
          <w:sz w:val="24"/>
        </w:rPr>
        <w:t>运输</w:t>
      </w:r>
      <w:r>
        <w:rPr>
          <w:rFonts w:hint="eastAsia" w:ascii="仿宋" w:hAnsi="仿宋" w:eastAsia="仿宋"/>
          <w:color w:val="auto"/>
          <w:sz w:val="24"/>
          <w:lang w:val="en-US" w:eastAsia="zh-CN"/>
        </w:rPr>
        <w:t>安全承诺</w:t>
      </w:r>
      <w:r>
        <w:rPr>
          <w:rFonts w:hint="eastAsia" w:ascii="仿宋" w:hAnsi="仿宋" w:eastAsia="仿宋"/>
          <w:color w:val="auto"/>
          <w:sz w:val="24"/>
        </w:rPr>
        <w:t>：由供方负责</w:t>
      </w:r>
      <w:r>
        <w:rPr>
          <w:rFonts w:hint="eastAsia" w:ascii="仿宋" w:hAnsi="仿宋" w:eastAsia="仿宋"/>
          <w:color w:val="auto"/>
          <w:sz w:val="24"/>
          <w:lang w:val="en-US" w:eastAsia="zh-CN"/>
        </w:rPr>
        <w:t>将货物</w:t>
      </w:r>
      <w:r>
        <w:rPr>
          <w:rFonts w:hint="eastAsia" w:ascii="仿宋" w:hAnsi="仿宋" w:eastAsia="仿宋"/>
          <w:color w:val="auto"/>
          <w:sz w:val="24"/>
        </w:rPr>
        <w:t>运到需方指定地点，</w:t>
      </w:r>
      <w:r>
        <w:rPr>
          <w:rFonts w:hint="eastAsia" w:ascii="仿宋" w:hAnsi="仿宋" w:eastAsia="仿宋"/>
          <w:color w:val="auto"/>
          <w:sz w:val="24"/>
          <w:lang w:val="en-US" w:eastAsia="zh-CN"/>
        </w:rPr>
        <w:t>对于运输路途中货物、运输车辆、司乘人员的一切安全责任均由供方承担</w:t>
      </w:r>
      <w:r>
        <w:rPr>
          <w:rFonts w:hint="eastAsia" w:ascii="仿宋" w:hAnsi="仿宋" w:eastAsia="仿宋"/>
          <w:color w:val="auto"/>
          <w:sz w:val="24"/>
          <w:lang w:eastAsia="zh-CN"/>
        </w:rPr>
        <w:t>。</w:t>
      </w:r>
    </w:p>
    <w:p w14:paraId="1BC6AA76">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2、当双方在签订合同后，需方按生产需求向供方下订单，中标方收到订单后签字（章）确认订单数量及要求，并按期保质保量供应。若合同执行期内（不可抗拒因素除外）发生因送货不及时等原因给需方造成的经济损失，由中标方承担全部损失；</w:t>
      </w:r>
    </w:p>
    <w:p w14:paraId="344F8AAB">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3、供方产品必须符合需方生产现场使用要求，在需要时无偿提供现场技术服务，保障需方正常生产。</w:t>
      </w:r>
    </w:p>
    <w:p w14:paraId="14828742">
      <w:pPr>
        <w:spacing w:line="360" w:lineRule="auto"/>
        <w:ind w:firstLine="540" w:firstLineChars="225"/>
        <w:rPr>
          <w:rFonts w:hint="eastAsia" w:ascii="仿宋" w:hAnsi="仿宋" w:eastAsia="仿宋"/>
          <w:color w:val="auto"/>
          <w:sz w:val="24"/>
          <w:lang w:val="en-US" w:eastAsia="zh-CN"/>
        </w:rPr>
      </w:pPr>
      <w:r>
        <w:rPr>
          <w:rFonts w:hint="eastAsia" w:ascii="仿宋" w:hAnsi="仿宋" w:eastAsia="仿宋"/>
          <w:color w:val="auto"/>
          <w:sz w:val="24"/>
          <w:lang w:val="en-US" w:eastAsia="zh-CN"/>
        </w:rPr>
        <w:t>十一、保密责任</w:t>
      </w:r>
    </w:p>
    <w:p w14:paraId="4E88B6B4">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十</w:t>
      </w:r>
      <w:r>
        <w:rPr>
          <w:rFonts w:hint="eastAsia" w:ascii="仿宋" w:hAnsi="仿宋" w:eastAsia="仿宋"/>
          <w:color w:val="auto"/>
          <w:sz w:val="24"/>
          <w:lang w:eastAsia="zh-CN"/>
        </w:rPr>
        <w:t>二</w:t>
      </w:r>
      <w:r>
        <w:rPr>
          <w:rFonts w:hint="eastAsia" w:ascii="仿宋" w:hAnsi="仿宋" w:eastAsia="仿宋"/>
          <w:color w:val="auto"/>
          <w:sz w:val="24"/>
        </w:rPr>
        <w:t>、违约责任</w:t>
      </w:r>
    </w:p>
    <w:p w14:paraId="18C7DBE1">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十</w:t>
      </w:r>
      <w:r>
        <w:rPr>
          <w:rFonts w:hint="eastAsia" w:ascii="仿宋" w:hAnsi="仿宋" w:eastAsia="仿宋"/>
          <w:color w:val="auto"/>
          <w:sz w:val="24"/>
          <w:lang w:eastAsia="zh-CN"/>
        </w:rPr>
        <w:t>三</w:t>
      </w:r>
      <w:r>
        <w:rPr>
          <w:rFonts w:hint="eastAsia" w:ascii="仿宋" w:hAnsi="仿宋" w:eastAsia="仿宋"/>
          <w:color w:val="auto"/>
          <w:sz w:val="24"/>
        </w:rPr>
        <w:t>、争议的解决：</w:t>
      </w:r>
    </w:p>
    <w:p w14:paraId="0FEA4D1A">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十</w:t>
      </w:r>
      <w:r>
        <w:rPr>
          <w:rFonts w:hint="eastAsia" w:ascii="仿宋" w:hAnsi="仿宋" w:eastAsia="仿宋"/>
          <w:color w:val="auto"/>
          <w:sz w:val="24"/>
          <w:lang w:eastAsia="zh-CN"/>
        </w:rPr>
        <w:t>四</w:t>
      </w:r>
      <w:r>
        <w:rPr>
          <w:rFonts w:hint="eastAsia" w:ascii="仿宋" w:hAnsi="仿宋" w:eastAsia="仿宋"/>
          <w:color w:val="auto"/>
          <w:sz w:val="24"/>
        </w:rPr>
        <w:t>、合同的生效</w:t>
      </w:r>
    </w:p>
    <w:p w14:paraId="1A5BDECC">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lang w:eastAsia="zh-CN"/>
        </w:rPr>
        <w:t>十五</w:t>
      </w:r>
      <w:r>
        <w:rPr>
          <w:rFonts w:hint="eastAsia" w:ascii="仿宋" w:hAnsi="仿宋" w:eastAsia="仿宋"/>
          <w:color w:val="auto"/>
          <w:sz w:val="24"/>
        </w:rPr>
        <w:t>、通知</w:t>
      </w:r>
    </w:p>
    <w:p w14:paraId="74D38142">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十</w:t>
      </w:r>
      <w:r>
        <w:rPr>
          <w:rFonts w:hint="eastAsia" w:ascii="仿宋" w:hAnsi="仿宋" w:eastAsia="仿宋"/>
          <w:color w:val="auto"/>
          <w:sz w:val="24"/>
          <w:lang w:eastAsia="zh-CN"/>
        </w:rPr>
        <w:t>六</w:t>
      </w:r>
      <w:r>
        <w:rPr>
          <w:rFonts w:hint="eastAsia" w:ascii="仿宋" w:hAnsi="仿宋" w:eastAsia="仿宋"/>
          <w:color w:val="auto"/>
          <w:sz w:val="24"/>
        </w:rPr>
        <w:t>、其他约定事项：</w:t>
      </w:r>
    </w:p>
    <w:p w14:paraId="6CD6F138">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lang w:val="en-US" w:eastAsia="zh-CN"/>
        </w:rPr>
        <w:t>甲</w:t>
      </w:r>
      <w:r>
        <w:rPr>
          <w:rFonts w:hint="eastAsia" w:ascii="仿宋" w:hAnsi="仿宋" w:eastAsia="仿宋"/>
          <w:color w:val="auto"/>
          <w:sz w:val="24"/>
        </w:rPr>
        <w:t xml:space="preserve">方：                          </w:t>
      </w:r>
      <w:r>
        <w:rPr>
          <w:rFonts w:hint="eastAsia" w:ascii="仿宋" w:hAnsi="仿宋" w:eastAsia="仿宋"/>
          <w:color w:val="auto"/>
          <w:sz w:val="24"/>
          <w:lang w:val="en-US" w:eastAsia="zh-CN"/>
        </w:rPr>
        <w:t>乙</w:t>
      </w:r>
      <w:r>
        <w:rPr>
          <w:rFonts w:hint="eastAsia" w:ascii="仿宋" w:hAnsi="仿宋" w:eastAsia="仿宋"/>
          <w:color w:val="auto"/>
          <w:sz w:val="24"/>
        </w:rPr>
        <w:t>方：</w:t>
      </w:r>
    </w:p>
    <w:p w14:paraId="706F1397">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 xml:space="preserve">地址：                          地址： </w:t>
      </w:r>
    </w:p>
    <w:p w14:paraId="5D6D67F8">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 xml:space="preserve">法人或委托代理人：              法人或委托代理人：             </w:t>
      </w:r>
    </w:p>
    <w:p w14:paraId="1CB4317E">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 xml:space="preserve">合同签订时间： </w:t>
      </w:r>
    </w:p>
    <w:p w14:paraId="09029EE1">
      <w:pPr>
        <w:spacing w:line="360" w:lineRule="auto"/>
        <w:ind w:firstLine="540" w:firstLineChars="225"/>
        <w:rPr>
          <w:rFonts w:hint="eastAsia" w:ascii="仿宋" w:hAnsi="仿宋" w:eastAsia="仿宋"/>
          <w:color w:val="auto"/>
          <w:sz w:val="24"/>
        </w:rPr>
      </w:pPr>
    </w:p>
    <w:p w14:paraId="0193F9F2">
      <w:pPr>
        <w:spacing w:line="360" w:lineRule="auto"/>
        <w:ind w:firstLine="540" w:firstLineChars="225"/>
        <w:rPr>
          <w:rFonts w:hint="eastAsia" w:ascii="仿宋" w:hAnsi="仿宋" w:eastAsia="仿宋"/>
          <w:color w:val="auto"/>
          <w:sz w:val="24"/>
        </w:rPr>
      </w:pPr>
    </w:p>
    <w:p w14:paraId="68DE7C48">
      <w:pPr>
        <w:spacing w:line="360" w:lineRule="auto"/>
        <w:ind w:firstLine="540" w:firstLineChars="225"/>
        <w:rPr>
          <w:rFonts w:hint="eastAsia" w:ascii="仿宋" w:hAnsi="仿宋" w:eastAsia="仿宋"/>
          <w:color w:val="auto"/>
          <w:sz w:val="24"/>
        </w:rPr>
      </w:pPr>
    </w:p>
    <w:p w14:paraId="65459DFE">
      <w:pPr>
        <w:spacing w:line="360" w:lineRule="auto"/>
        <w:ind w:firstLine="540" w:firstLineChars="225"/>
        <w:rPr>
          <w:rFonts w:hint="eastAsia" w:ascii="仿宋" w:hAnsi="仿宋" w:eastAsia="仿宋"/>
          <w:color w:val="auto"/>
          <w:sz w:val="24"/>
        </w:rPr>
      </w:pPr>
    </w:p>
    <w:p w14:paraId="6045B216">
      <w:pPr>
        <w:spacing w:line="360" w:lineRule="auto"/>
        <w:ind w:firstLine="540" w:firstLineChars="225"/>
        <w:rPr>
          <w:rFonts w:hint="eastAsia" w:ascii="仿宋" w:hAnsi="仿宋" w:eastAsia="仿宋"/>
          <w:color w:val="auto"/>
          <w:sz w:val="24"/>
        </w:rPr>
      </w:pPr>
    </w:p>
    <w:p w14:paraId="46412D78">
      <w:pPr>
        <w:spacing w:line="360" w:lineRule="auto"/>
        <w:ind w:firstLine="540" w:firstLineChars="225"/>
        <w:rPr>
          <w:rFonts w:hint="eastAsia" w:ascii="仿宋" w:hAnsi="仿宋" w:eastAsia="仿宋"/>
          <w:color w:val="auto"/>
          <w:sz w:val="24"/>
        </w:rPr>
      </w:pPr>
    </w:p>
    <w:p w14:paraId="2F0B8C42">
      <w:pPr>
        <w:spacing w:line="360" w:lineRule="auto"/>
        <w:ind w:firstLine="540" w:firstLineChars="225"/>
        <w:rPr>
          <w:rFonts w:hint="eastAsia" w:ascii="仿宋" w:hAnsi="仿宋" w:eastAsia="仿宋"/>
          <w:color w:val="auto"/>
          <w:sz w:val="24"/>
        </w:rPr>
      </w:pPr>
    </w:p>
    <w:p w14:paraId="2C6B1032">
      <w:pPr>
        <w:spacing w:line="360" w:lineRule="auto"/>
        <w:ind w:firstLine="540" w:firstLineChars="225"/>
        <w:rPr>
          <w:rFonts w:hint="eastAsia" w:ascii="仿宋" w:hAnsi="仿宋" w:eastAsia="仿宋"/>
          <w:color w:val="auto"/>
          <w:sz w:val="24"/>
        </w:rPr>
      </w:pPr>
    </w:p>
    <w:p w14:paraId="547F0664">
      <w:pPr>
        <w:spacing w:line="360" w:lineRule="auto"/>
        <w:ind w:firstLine="540" w:firstLineChars="225"/>
        <w:rPr>
          <w:rFonts w:hint="eastAsia" w:ascii="仿宋" w:hAnsi="仿宋" w:eastAsia="仿宋"/>
          <w:color w:val="auto"/>
          <w:sz w:val="24"/>
        </w:rPr>
      </w:pPr>
    </w:p>
    <w:p w14:paraId="62876395">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附件一：</w:t>
      </w:r>
      <w:r>
        <w:rPr>
          <w:rFonts w:hint="eastAsia" w:ascii="仿宋" w:hAnsi="仿宋" w:eastAsia="仿宋"/>
          <w:color w:val="auto"/>
          <w:sz w:val="24"/>
          <w:lang w:val="en-US" w:eastAsia="zh-CN"/>
        </w:rPr>
        <w:t xml:space="preserve">                     </w:t>
      </w:r>
      <w:r>
        <w:rPr>
          <w:rFonts w:hint="eastAsia" w:ascii="仿宋" w:hAnsi="仿宋" w:eastAsia="仿宋"/>
          <w:b/>
          <w:bCs/>
          <w:color w:val="auto"/>
          <w:sz w:val="24"/>
        </w:rPr>
        <w:t>投标差异表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1846"/>
        <w:gridCol w:w="1754"/>
        <w:gridCol w:w="1847"/>
      </w:tblGrid>
      <w:tr w14:paraId="58F4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2BE6BFC9">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序号</w:t>
            </w:r>
          </w:p>
        </w:tc>
        <w:tc>
          <w:tcPr>
            <w:tcW w:w="3060" w:type="dxa"/>
            <w:tcBorders>
              <w:top w:val="single" w:color="auto" w:sz="4" w:space="0"/>
              <w:left w:val="single" w:color="auto" w:sz="4" w:space="0"/>
              <w:bottom w:val="single" w:color="auto" w:sz="4" w:space="0"/>
              <w:right w:val="single" w:color="auto" w:sz="4" w:space="0"/>
            </w:tcBorders>
            <w:noWrap w:val="0"/>
            <w:vAlign w:val="top"/>
          </w:tcPr>
          <w:p w14:paraId="3DCC11DF">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招标文件要求</w:t>
            </w:r>
          </w:p>
        </w:tc>
        <w:tc>
          <w:tcPr>
            <w:tcW w:w="1846" w:type="dxa"/>
            <w:tcBorders>
              <w:top w:val="single" w:color="auto" w:sz="4" w:space="0"/>
              <w:left w:val="single" w:color="auto" w:sz="4" w:space="0"/>
              <w:bottom w:val="single" w:color="auto" w:sz="4" w:space="0"/>
              <w:right w:val="single" w:color="auto" w:sz="4" w:space="0"/>
            </w:tcBorders>
            <w:noWrap w:val="0"/>
            <w:vAlign w:val="top"/>
          </w:tcPr>
          <w:p w14:paraId="2B992B64">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投标响应</w:t>
            </w:r>
          </w:p>
        </w:tc>
        <w:tc>
          <w:tcPr>
            <w:tcW w:w="1754" w:type="dxa"/>
            <w:tcBorders>
              <w:top w:val="single" w:color="auto" w:sz="4" w:space="0"/>
              <w:left w:val="single" w:color="auto" w:sz="4" w:space="0"/>
              <w:bottom w:val="single" w:color="auto" w:sz="4" w:space="0"/>
              <w:right w:val="single" w:color="auto" w:sz="4" w:space="0"/>
            </w:tcBorders>
            <w:noWrap w:val="0"/>
            <w:vAlign w:val="top"/>
          </w:tcPr>
          <w:p w14:paraId="532A668C">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差异</w:t>
            </w:r>
          </w:p>
        </w:tc>
        <w:tc>
          <w:tcPr>
            <w:tcW w:w="1847" w:type="dxa"/>
            <w:tcBorders>
              <w:top w:val="single" w:color="auto" w:sz="4" w:space="0"/>
              <w:left w:val="single" w:color="auto" w:sz="4" w:space="0"/>
              <w:bottom w:val="single" w:color="auto" w:sz="4" w:space="0"/>
              <w:right w:val="single" w:color="auto" w:sz="4" w:space="0"/>
            </w:tcBorders>
            <w:noWrap w:val="0"/>
            <w:vAlign w:val="top"/>
          </w:tcPr>
          <w:p w14:paraId="205BC034">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差异原因</w:t>
            </w:r>
          </w:p>
        </w:tc>
      </w:tr>
      <w:tr w14:paraId="6B0B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0A50028B">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1</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2728F153">
            <w:pPr>
              <w:spacing w:line="360" w:lineRule="auto"/>
              <w:ind w:firstLine="540" w:firstLineChars="225"/>
              <w:rPr>
                <w:rFonts w:hint="eastAsia" w:ascii="仿宋" w:hAnsi="仿宋" w:eastAsia="仿宋"/>
                <w:color w:val="auto"/>
                <w:sz w:val="24"/>
              </w:rPr>
            </w:pPr>
          </w:p>
        </w:tc>
        <w:tc>
          <w:tcPr>
            <w:tcW w:w="1846" w:type="dxa"/>
            <w:tcBorders>
              <w:top w:val="single" w:color="auto" w:sz="4" w:space="0"/>
              <w:left w:val="single" w:color="auto" w:sz="4" w:space="0"/>
              <w:bottom w:val="single" w:color="auto" w:sz="4" w:space="0"/>
              <w:right w:val="single" w:color="auto" w:sz="4" w:space="0"/>
            </w:tcBorders>
            <w:noWrap w:val="0"/>
            <w:vAlign w:val="center"/>
          </w:tcPr>
          <w:p w14:paraId="2AAB64F2">
            <w:pPr>
              <w:spacing w:line="360" w:lineRule="auto"/>
              <w:ind w:firstLine="540" w:firstLineChars="225"/>
              <w:rPr>
                <w:rFonts w:hint="eastAsia" w:ascii="仿宋" w:hAnsi="仿宋" w:eastAsia="仿宋"/>
                <w:color w:val="auto"/>
                <w:sz w:val="24"/>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14:paraId="52D552F5">
            <w:pPr>
              <w:spacing w:line="360" w:lineRule="auto"/>
              <w:ind w:firstLine="540" w:firstLineChars="225"/>
              <w:rPr>
                <w:rFonts w:hint="eastAsia" w:ascii="仿宋" w:hAnsi="仿宋" w:eastAsia="仿宋"/>
                <w:color w:val="auto"/>
                <w:sz w:val="24"/>
              </w:rPr>
            </w:pPr>
          </w:p>
        </w:tc>
        <w:tc>
          <w:tcPr>
            <w:tcW w:w="1847" w:type="dxa"/>
            <w:tcBorders>
              <w:top w:val="single" w:color="auto" w:sz="4" w:space="0"/>
              <w:left w:val="single" w:color="auto" w:sz="4" w:space="0"/>
              <w:bottom w:val="single" w:color="auto" w:sz="4" w:space="0"/>
              <w:right w:val="single" w:color="auto" w:sz="4" w:space="0"/>
            </w:tcBorders>
            <w:noWrap w:val="0"/>
            <w:vAlign w:val="center"/>
          </w:tcPr>
          <w:p w14:paraId="644B8615">
            <w:pPr>
              <w:spacing w:line="360" w:lineRule="auto"/>
              <w:ind w:firstLine="540" w:firstLineChars="225"/>
              <w:rPr>
                <w:rFonts w:hint="eastAsia" w:ascii="仿宋" w:hAnsi="仿宋" w:eastAsia="仿宋"/>
                <w:color w:val="auto"/>
                <w:sz w:val="24"/>
              </w:rPr>
            </w:pPr>
          </w:p>
        </w:tc>
      </w:tr>
      <w:tr w14:paraId="56C2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583B9024">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2</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39430CD2">
            <w:pPr>
              <w:spacing w:line="360" w:lineRule="auto"/>
              <w:ind w:firstLine="540" w:firstLineChars="225"/>
              <w:rPr>
                <w:rFonts w:hint="eastAsia" w:ascii="仿宋" w:hAnsi="仿宋" w:eastAsia="仿宋"/>
                <w:color w:val="auto"/>
                <w:sz w:val="24"/>
              </w:rPr>
            </w:pPr>
          </w:p>
        </w:tc>
        <w:tc>
          <w:tcPr>
            <w:tcW w:w="1846" w:type="dxa"/>
            <w:tcBorders>
              <w:top w:val="single" w:color="auto" w:sz="4" w:space="0"/>
              <w:left w:val="single" w:color="auto" w:sz="4" w:space="0"/>
              <w:bottom w:val="single" w:color="auto" w:sz="4" w:space="0"/>
              <w:right w:val="single" w:color="auto" w:sz="4" w:space="0"/>
            </w:tcBorders>
            <w:noWrap w:val="0"/>
            <w:vAlign w:val="center"/>
          </w:tcPr>
          <w:p w14:paraId="3FD6CA37">
            <w:pPr>
              <w:spacing w:line="360" w:lineRule="auto"/>
              <w:ind w:firstLine="540" w:firstLineChars="225"/>
              <w:rPr>
                <w:rFonts w:hint="eastAsia" w:ascii="仿宋" w:hAnsi="仿宋" w:eastAsia="仿宋"/>
                <w:color w:val="auto"/>
                <w:sz w:val="24"/>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14:paraId="3B17BE87">
            <w:pPr>
              <w:spacing w:line="360" w:lineRule="auto"/>
              <w:ind w:firstLine="540" w:firstLineChars="225"/>
              <w:rPr>
                <w:rFonts w:hint="eastAsia" w:ascii="仿宋" w:hAnsi="仿宋" w:eastAsia="仿宋"/>
                <w:color w:val="auto"/>
                <w:sz w:val="24"/>
              </w:rPr>
            </w:pPr>
          </w:p>
        </w:tc>
        <w:tc>
          <w:tcPr>
            <w:tcW w:w="1847" w:type="dxa"/>
            <w:tcBorders>
              <w:top w:val="single" w:color="auto" w:sz="4" w:space="0"/>
              <w:left w:val="single" w:color="auto" w:sz="4" w:space="0"/>
              <w:bottom w:val="single" w:color="auto" w:sz="4" w:space="0"/>
              <w:right w:val="single" w:color="auto" w:sz="4" w:space="0"/>
            </w:tcBorders>
            <w:noWrap w:val="0"/>
            <w:vAlign w:val="center"/>
          </w:tcPr>
          <w:p w14:paraId="3DDB1093">
            <w:pPr>
              <w:spacing w:line="360" w:lineRule="auto"/>
              <w:ind w:firstLine="540" w:firstLineChars="225"/>
              <w:rPr>
                <w:rFonts w:hint="eastAsia" w:ascii="仿宋" w:hAnsi="仿宋" w:eastAsia="仿宋"/>
                <w:color w:val="auto"/>
                <w:sz w:val="24"/>
              </w:rPr>
            </w:pPr>
          </w:p>
        </w:tc>
      </w:tr>
      <w:tr w14:paraId="71C0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0377E95B">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3</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03D6C922">
            <w:pPr>
              <w:spacing w:line="360" w:lineRule="auto"/>
              <w:ind w:firstLine="540" w:firstLineChars="225"/>
              <w:rPr>
                <w:rFonts w:hint="eastAsia" w:ascii="仿宋" w:hAnsi="仿宋" w:eastAsia="仿宋"/>
                <w:color w:val="auto"/>
                <w:sz w:val="24"/>
              </w:rPr>
            </w:pPr>
          </w:p>
        </w:tc>
        <w:tc>
          <w:tcPr>
            <w:tcW w:w="1846" w:type="dxa"/>
            <w:tcBorders>
              <w:top w:val="single" w:color="auto" w:sz="4" w:space="0"/>
              <w:left w:val="single" w:color="auto" w:sz="4" w:space="0"/>
              <w:bottom w:val="single" w:color="auto" w:sz="4" w:space="0"/>
              <w:right w:val="single" w:color="auto" w:sz="4" w:space="0"/>
            </w:tcBorders>
            <w:noWrap w:val="0"/>
            <w:vAlign w:val="center"/>
          </w:tcPr>
          <w:p w14:paraId="73512E90">
            <w:pPr>
              <w:spacing w:line="360" w:lineRule="auto"/>
              <w:ind w:firstLine="540" w:firstLineChars="225"/>
              <w:rPr>
                <w:rFonts w:hint="eastAsia" w:ascii="仿宋" w:hAnsi="仿宋" w:eastAsia="仿宋"/>
                <w:color w:val="auto"/>
                <w:sz w:val="24"/>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14:paraId="1A131574">
            <w:pPr>
              <w:spacing w:line="360" w:lineRule="auto"/>
              <w:ind w:firstLine="540" w:firstLineChars="225"/>
              <w:rPr>
                <w:rFonts w:hint="eastAsia" w:ascii="仿宋" w:hAnsi="仿宋" w:eastAsia="仿宋"/>
                <w:color w:val="auto"/>
                <w:sz w:val="24"/>
              </w:rPr>
            </w:pPr>
          </w:p>
        </w:tc>
        <w:tc>
          <w:tcPr>
            <w:tcW w:w="1847" w:type="dxa"/>
            <w:tcBorders>
              <w:top w:val="single" w:color="auto" w:sz="4" w:space="0"/>
              <w:left w:val="single" w:color="auto" w:sz="4" w:space="0"/>
              <w:bottom w:val="single" w:color="auto" w:sz="4" w:space="0"/>
              <w:right w:val="single" w:color="auto" w:sz="4" w:space="0"/>
            </w:tcBorders>
            <w:noWrap w:val="0"/>
            <w:vAlign w:val="center"/>
          </w:tcPr>
          <w:p w14:paraId="7B159371">
            <w:pPr>
              <w:spacing w:line="360" w:lineRule="auto"/>
              <w:ind w:firstLine="540" w:firstLineChars="225"/>
              <w:rPr>
                <w:rFonts w:hint="eastAsia" w:ascii="仿宋" w:hAnsi="仿宋" w:eastAsia="仿宋"/>
                <w:color w:val="auto"/>
                <w:sz w:val="24"/>
              </w:rPr>
            </w:pPr>
          </w:p>
        </w:tc>
      </w:tr>
      <w:tr w14:paraId="7C43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0E77F221">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4</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29D69546">
            <w:pPr>
              <w:spacing w:line="360" w:lineRule="auto"/>
              <w:ind w:firstLine="540" w:firstLineChars="225"/>
              <w:rPr>
                <w:rFonts w:hint="eastAsia" w:ascii="仿宋" w:hAnsi="仿宋" w:eastAsia="仿宋"/>
                <w:color w:val="auto"/>
                <w:sz w:val="24"/>
              </w:rPr>
            </w:pPr>
          </w:p>
        </w:tc>
        <w:tc>
          <w:tcPr>
            <w:tcW w:w="1846" w:type="dxa"/>
            <w:tcBorders>
              <w:top w:val="single" w:color="auto" w:sz="4" w:space="0"/>
              <w:left w:val="single" w:color="auto" w:sz="4" w:space="0"/>
              <w:bottom w:val="single" w:color="auto" w:sz="4" w:space="0"/>
              <w:right w:val="single" w:color="auto" w:sz="4" w:space="0"/>
            </w:tcBorders>
            <w:noWrap w:val="0"/>
            <w:vAlign w:val="center"/>
          </w:tcPr>
          <w:p w14:paraId="6C0BB5B1">
            <w:pPr>
              <w:spacing w:line="360" w:lineRule="auto"/>
              <w:ind w:firstLine="540" w:firstLineChars="225"/>
              <w:rPr>
                <w:rFonts w:hint="eastAsia" w:ascii="仿宋" w:hAnsi="仿宋" w:eastAsia="仿宋"/>
                <w:color w:val="auto"/>
                <w:sz w:val="24"/>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14:paraId="4D2FCECA">
            <w:pPr>
              <w:spacing w:line="360" w:lineRule="auto"/>
              <w:ind w:firstLine="540" w:firstLineChars="225"/>
              <w:rPr>
                <w:rFonts w:hint="eastAsia" w:ascii="仿宋" w:hAnsi="仿宋" w:eastAsia="仿宋"/>
                <w:color w:val="auto"/>
                <w:sz w:val="24"/>
              </w:rPr>
            </w:pPr>
          </w:p>
        </w:tc>
        <w:tc>
          <w:tcPr>
            <w:tcW w:w="1847" w:type="dxa"/>
            <w:tcBorders>
              <w:top w:val="single" w:color="auto" w:sz="4" w:space="0"/>
              <w:left w:val="single" w:color="auto" w:sz="4" w:space="0"/>
              <w:bottom w:val="single" w:color="auto" w:sz="4" w:space="0"/>
              <w:right w:val="single" w:color="auto" w:sz="4" w:space="0"/>
            </w:tcBorders>
            <w:noWrap w:val="0"/>
            <w:vAlign w:val="center"/>
          </w:tcPr>
          <w:p w14:paraId="4CE5DDC8">
            <w:pPr>
              <w:spacing w:line="360" w:lineRule="auto"/>
              <w:ind w:firstLine="540" w:firstLineChars="225"/>
              <w:rPr>
                <w:rFonts w:hint="eastAsia" w:ascii="仿宋" w:hAnsi="仿宋" w:eastAsia="仿宋"/>
                <w:color w:val="auto"/>
                <w:sz w:val="24"/>
              </w:rPr>
            </w:pPr>
          </w:p>
        </w:tc>
      </w:tr>
      <w:tr w14:paraId="1980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6F03D9F2">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5</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48C643C3">
            <w:pPr>
              <w:spacing w:line="360" w:lineRule="auto"/>
              <w:ind w:firstLine="540" w:firstLineChars="225"/>
              <w:rPr>
                <w:rFonts w:hint="eastAsia" w:ascii="仿宋" w:hAnsi="仿宋" w:eastAsia="仿宋"/>
                <w:color w:val="auto"/>
                <w:sz w:val="24"/>
              </w:rPr>
            </w:pPr>
          </w:p>
        </w:tc>
        <w:tc>
          <w:tcPr>
            <w:tcW w:w="1846" w:type="dxa"/>
            <w:tcBorders>
              <w:top w:val="single" w:color="auto" w:sz="4" w:space="0"/>
              <w:left w:val="single" w:color="auto" w:sz="4" w:space="0"/>
              <w:bottom w:val="single" w:color="auto" w:sz="4" w:space="0"/>
              <w:right w:val="single" w:color="auto" w:sz="4" w:space="0"/>
            </w:tcBorders>
            <w:noWrap w:val="0"/>
            <w:vAlign w:val="center"/>
          </w:tcPr>
          <w:p w14:paraId="68A89D72">
            <w:pPr>
              <w:spacing w:line="360" w:lineRule="auto"/>
              <w:ind w:firstLine="540" w:firstLineChars="225"/>
              <w:rPr>
                <w:rFonts w:hint="eastAsia" w:ascii="仿宋" w:hAnsi="仿宋" w:eastAsia="仿宋"/>
                <w:color w:val="auto"/>
                <w:sz w:val="24"/>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14:paraId="0FC8639B">
            <w:pPr>
              <w:spacing w:line="360" w:lineRule="auto"/>
              <w:ind w:firstLine="540" w:firstLineChars="225"/>
              <w:rPr>
                <w:rFonts w:hint="eastAsia" w:ascii="仿宋" w:hAnsi="仿宋" w:eastAsia="仿宋"/>
                <w:color w:val="auto"/>
                <w:sz w:val="24"/>
              </w:rPr>
            </w:pPr>
          </w:p>
        </w:tc>
        <w:tc>
          <w:tcPr>
            <w:tcW w:w="1847" w:type="dxa"/>
            <w:tcBorders>
              <w:top w:val="single" w:color="auto" w:sz="4" w:space="0"/>
              <w:left w:val="single" w:color="auto" w:sz="4" w:space="0"/>
              <w:bottom w:val="single" w:color="auto" w:sz="4" w:space="0"/>
              <w:right w:val="single" w:color="auto" w:sz="4" w:space="0"/>
            </w:tcBorders>
            <w:noWrap w:val="0"/>
            <w:vAlign w:val="center"/>
          </w:tcPr>
          <w:p w14:paraId="784D1C61">
            <w:pPr>
              <w:spacing w:line="360" w:lineRule="auto"/>
              <w:ind w:firstLine="540" w:firstLineChars="225"/>
              <w:rPr>
                <w:rFonts w:hint="eastAsia" w:ascii="仿宋" w:hAnsi="仿宋" w:eastAsia="仿宋"/>
                <w:color w:val="auto"/>
                <w:sz w:val="24"/>
              </w:rPr>
            </w:pPr>
          </w:p>
        </w:tc>
      </w:tr>
      <w:tr w14:paraId="4ED8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4B825F7E">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6</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6731F211">
            <w:pPr>
              <w:spacing w:line="360" w:lineRule="auto"/>
              <w:ind w:firstLine="540" w:firstLineChars="225"/>
              <w:rPr>
                <w:rFonts w:hint="eastAsia" w:ascii="仿宋" w:hAnsi="仿宋" w:eastAsia="仿宋"/>
                <w:color w:val="auto"/>
                <w:sz w:val="24"/>
              </w:rPr>
            </w:pPr>
          </w:p>
        </w:tc>
        <w:tc>
          <w:tcPr>
            <w:tcW w:w="1846" w:type="dxa"/>
            <w:tcBorders>
              <w:top w:val="single" w:color="auto" w:sz="4" w:space="0"/>
              <w:left w:val="single" w:color="auto" w:sz="4" w:space="0"/>
              <w:bottom w:val="single" w:color="auto" w:sz="4" w:space="0"/>
              <w:right w:val="single" w:color="auto" w:sz="4" w:space="0"/>
            </w:tcBorders>
            <w:noWrap w:val="0"/>
            <w:vAlign w:val="center"/>
          </w:tcPr>
          <w:p w14:paraId="2D317E6B">
            <w:pPr>
              <w:spacing w:line="360" w:lineRule="auto"/>
              <w:ind w:firstLine="540" w:firstLineChars="225"/>
              <w:rPr>
                <w:rFonts w:hint="eastAsia" w:ascii="仿宋" w:hAnsi="仿宋" w:eastAsia="仿宋"/>
                <w:color w:val="auto"/>
                <w:sz w:val="24"/>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14:paraId="68856CA8">
            <w:pPr>
              <w:spacing w:line="360" w:lineRule="auto"/>
              <w:ind w:firstLine="540" w:firstLineChars="225"/>
              <w:rPr>
                <w:rFonts w:hint="eastAsia" w:ascii="仿宋" w:hAnsi="仿宋" w:eastAsia="仿宋"/>
                <w:color w:val="auto"/>
                <w:sz w:val="24"/>
              </w:rPr>
            </w:pPr>
          </w:p>
        </w:tc>
        <w:tc>
          <w:tcPr>
            <w:tcW w:w="1847" w:type="dxa"/>
            <w:tcBorders>
              <w:top w:val="single" w:color="auto" w:sz="4" w:space="0"/>
              <w:left w:val="single" w:color="auto" w:sz="4" w:space="0"/>
              <w:bottom w:val="single" w:color="auto" w:sz="4" w:space="0"/>
              <w:right w:val="single" w:color="auto" w:sz="4" w:space="0"/>
            </w:tcBorders>
            <w:noWrap w:val="0"/>
            <w:vAlign w:val="center"/>
          </w:tcPr>
          <w:p w14:paraId="1787F477">
            <w:pPr>
              <w:spacing w:line="360" w:lineRule="auto"/>
              <w:ind w:firstLine="540" w:firstLineChars="225"/>
              <w:rPr>
                <w:rFonts w:hint="eastAsia" w:ascii="仿宋" w:hAnsi="仿宋" w:eastAsia="仿宋"/>
                <w:color w:val="auto"/>
                <w:sz w:val="24"/>
              </w:rPr>
            </w:pPr>
          </w:p>
        </w:tc>
      </w:tr>
      <w:tr w14:paraId="2ED8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0EE125BC">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7</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178390FB">
            <w:pPr>
              <w:spacing w:line="360" w:lineRule="auto"/>
              <w:ind w:firstLine="540" w:firstLineChars="225"/>
              <w:rPr>
                <w:rFonts w:hint="eastAsia" w:ascii="仿宋" w:hAnsi="仿宋" w:eastAsia="仿宋"/>
                <w:color w:val="auto"/>
                <w:sz w:val="24"/>
              </w:rPr>
            </w:pPr>
          </w:p>
        </w:tc>
        <w:tc>
          <w:tcPr>
            <w:tcW w:w="1846" w:type="dxa"/>
            <w:tcBorders>
              <w:top w:val="single" w:color="auto" w:sz="4" w:space="0"/>
              <w:left w:val="single" w:color="auto" w:sz="4" w:space="0"/>
              <w:bottom w:val="single" w:color="auto" w:sz="4" w:space="0"/>
              <w:right w:val="single" w:color="auto" w:sz="4" w:space="0"/>
            </w:tcBorders>
            <w:noWrap w:val="0"/>
            <w:vAlign w:val="center"/>
          </w:tcPr>
          <w:p w14:paraId="111525D2">
            <w:pPr>
              <w:spacing w:line="360" w:lineRule="auto"/>
              <w:ind w:firstLine="540" w:firstLineChars="225"/>
              <w:rPr>
                <w:rFonts w:hint="eastAsia" w:ascii="仿宋" w:hAnsi="仿宋" w:eastAsia="仿宋"/>
                <w:color w:val="auto"/>
                <w:sz w:val="24"/>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14:paraId="2897F0C0">
            <w:pPr>
              <w:spacing w:line="360" w:lineRule="auto"/>
              <w:ind w:firstLine="540" w:firstLineChars="225"/>
              <w:rPr>
                <w:rFonts w:hint="eastAsia" w:ascii="仿宋" w:hAnsi="仿宋" w:eastAsia="仿宋"/>
                <w:color w:val="auto"/>
                <w:sz w:val="24"/>
              </w:rPr>
            </w:pPr>
          </w:p>
        </w:tc>
        <w:tc>
          <w:tcPr>
            <w:tcW w:w="1847" w:type="dxa"/>
            <w:tcBorders>
              <w:top w:val="single" w:color="auto" w:sz="4" w:space="0"/>
              <w:left w:val="single" w:color="auto" w:sz="4" w:space="0"/>
              <w:bottom w:val="single" w:color="auto" w:sz="4" w:space="0"/>
              <w:right w:val="single" w:color="auto" w:sz="4" w:space="0"/>
            </w:tcBorders>
            <w:noWrap w:val="0"/>
            <w:vAlign w:val="center"/>
          </w:tcPr>
          <w:p w14:paraId="616645DD">
            <w:pPr>
              <w:spacing w:line="360" w:lineRule="auto"/>
              <w:ind w:firstLine="540" w:firstLineChars="225"/>
              <w:rPr>
                <w:rFonts w:hint="eastAsia" w:ascii="仿宋" w:hAnsi="仿宋" w:eastAsia="仿宋"/>
                <w:color w:val="auto"/>
                <w:sz w:val="24"/>
              </w:rPr>
            </w:pPr>
          </w:p>
        </w:tc>
      </w:tr>
      <w:tr w14:paraId="3F13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3505BB08">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8</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61603F0E">
            <w:pPr>
              <w:spacing w:line="360" w:lineRule="auto"/>
              <w:ind w:firstLine="540" w:firstLineChars="225"/>
              <w:rPr>
                <w:rFonts w:hint="eastAsia" w:ascii="仿宋" w:hAnsi="仿宋" w:eastAsia="仿宋"/>
                <w:color w:val="auto"/>
                <w:sz w:val="24"/>
              </w:rPr>
            </w:pPr>
          </w:p>
        </w:tc>
        <w:tc>
          <w:tcPr>
            <w:tcW w:w="1846" w:type="dxa"/>
            <w:tcBorders>
              <w:top w:val="single" w:color="auto" w:sz="4" w:space="0"/>
              <w:left w:val="single" w:color="auto" w:sz="4" w:space="0"/>
              <w:bottom w:val="single" w:color="auto" w:sz="4" w:space="0"/>
              <w:right w:val="single" w:color="auto" w:sz="4" w:space="0"/>
            </w:tcBorders>
            <w:noWrap w:val="0"/>
            <w:vAlign w:val="center"/>
          </w:tcPr>
          <w:p w14:paraId="251AA60A">
            <w:pPr>
              <w:spacing w:line="360" w:lineRule="auto"/>
              <w:ind w:firstLine="540" w:firstLineChars="225"/>
              <w:rPr>
                <w:rFonts w:hint="eastAsia" w:ascii="仿宋" w:hAnsi="仿宋" w:eastAsia="仿宋"/>
                <w:color w:val="auto"/>
                <w:sz w:val="24"/>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14:paraId="3A66A5E3">
            <w:pPr>
              <w:spacing w:line="360" w:lineRule="auto"/>
              <w:ind w:firstLine="540" w:firstLineChars="225"/>
              <w:rPr>
                <w:rFonts w:hint="eastAsia" w:ascii="仿宋" w:hAnsi="仿宋" w:eastAsia="仿宋"/>
                <w:color w:val="auto"/>
                <w:sz w:val="24"/>
              </w:rPr>
            </w:pPr>
          </w:p>
        </w:tc>
        <w:tc>
          <w:tcPr>
            <w:tcW w:w="1847" w:type="dxa"/>
            <w:tcBorders>
              <w:top w:val="single" w:color="auto" w:sz="4" w:space="0"/>
              <w:left w:val="single" w:color="auto" w:sz="4" w:space="0"/>
              <w:bottom w:val="single" w:color="auto" w:sz="4" w:space="0"/>
              <w:right w:val="single" w:color="auto" w:sz="4" w:space="0"/>
            </w:tcBorders>
            <w:noWrap w:val="0"/>
            <w:vAlign w:val="center"/>
          </w:tcPr>
          <w:p w14:paraId="3421CD32">
            <w:pPr>
              <w:spacing w:line="360" w:lineRule="auto"/>
              <w:ind w:firstLine="540" w:firstLineChars="225"/>
              <w:rPr>
                <w:rFonts w:hint="eastAsia" w:ascii="仿宋" w:hAnsi="仿宋" w:eastAsia="仿宋"/>
                <w:color w:val="auto"/>
                <w:sz w:val="24"/>
              </w:rPr>
            </w:pPr>
          </w:p>
        </w:tc>
      </w:tr>
      <w:tr w14:paraId="7F32C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33B362D1">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9</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5B1432D2">
            <w:pPr>
              <w:spacing w:line="360" w:lineRule="auto"/>
              <w:ind w:firstLine="540" w:firstLineChars="225"/>
              <w:rPr>
                <w:rFonts w:hint="eastAsia" w:ascii="仿宋" w:hAnsi="仿宋" w:eastAsia="仿宋"/>
                <w:color w:val="auto"/>
                <w:sz w:val="24"/>
              </w:rPr>
            </w:pPr>
          </w:p>
        </w:tc>
        <w:tc>
          <w:tcPr>
            <w:tcW w:w="1846" w:type="dxa"/>
            <w:tcBorders>
              <w:top w:val="single" w:color="auto" w:sz="4" w:space="0"/>
              <w:left w:val="single" w:color="auto" w:sz="4" w:space="0"/>
              <w:bottom w:val="single" w:color="auto" w:sz="4" w:space="0"/>
              <w:right w:val="single" w:color="auto" w:sz="4" w:space="0"/>
            </w:tcBorders>
            <w:noWrap w:val="0"/>
            <w:vAlign w:val="center"/>
          </w:tcPr>
          <w:p w14:paraId="3B743C4D">
            <w:pPr>
              <w:spacing w:line="360" w:lineRule="auto"/>
              <w:ind w:firstLine="540" w:firstLineChars="225"/>
              <w:rPr>
                <w:rFonts w:hint="eastAsia" w:ascii="仿宋" w:hAnsi="仿宋" w:eastAsia="仿宋"/>
                <w:color w:val="auto"/>
                <w:sz w:val="24"/>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14:paraId="4D971406">
            <w:pPr>
              <w:spacing w:line="360" w:lineRule="auto"/>
              <w:ind w:firstLine="540" w:firstLineChars="225"/>
              <w:rPr>
                <w:rFonts w:hint="eastAsia" w:ascii="仿宋" w:hAnsi="仿宋" w:eastAsia="仿宋"/>
                <w:color w:val="auto"/>
                <w:sz w:val="24"/>
              </w:rPr>
            </w:pPr>
          </w:p>
        </w:tc>
        <w:tc>
          <w:tcPr>
            <w:tcW w:w="1847" w:type="dxa"/>
            <w:tcBorders>
              <w:top w:val="single" w:color="auto" w:sz="4" w:space="0"/>
              <w:left w:val="single" w:color="auto" w:sz="4" w:space="0"/>
              <w:bottom w:val="single" w:color="auto" w:sz="4" w:space="0"/>
              <w:right w:val="single" w:color="auto" w:sz="4" w:space="0"/>
            </w:tcBorders>
            <w:noWrap w:val="0"/>
            <w:vAlign w:val="center"/>
          </w:tcPr>
          <w:p w14:paraId="033F48AA">
            <w:pPr>
              <w:spacing w:line="360" w:lineRule="auto"/>
              <w:ind w:firstLine="540" w:firstLineChars="225"/>
              <w:rPr>
                <w:rFonts w:hint="eastAsia" w:ascii="仿宋" w:hAnsi="仿宋" w:eastAsia="仿宋"/>
                <w:color w:val="auto"/>
                <w:sz w:val="24"/>
              </w:rPr>
            </w:pPr>
          </w:p>
        </w:tc>
      </w:tr>
    </w:tbl>
    <w:p w14:paraId="631D3FEE">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说明：</w:t>
      </w:r>
    </w:p>
    <w:p w14:paraId="505AF11D">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1、如果投标方对招标文件有异议，请将招标文件要求内容和存在的差异填于此表中，如果不填写视为同意招标文件的要求，如中标即按招标文件签订合同；</w:t>
      </w:r>
    </w:p>
    <w:p w14:paraId="3A797BEA">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2、本表可编辑、可续行</w:t>
      </w:r>
    </w:p>
    <w:p w14:paraId="455B687F">
      <w:pPr>
        <w:spacing w:line="360" w:lineRule="auto"/>
        <w:ind w:firstLine="540" w:firstLineChars="225"/>
        <w:rPr>
          <w:rFonts w:hint="eastAsia" w:ascii="仿宋" w:hAnsi="仿宋" w:eastAsia="仿宋"/>
          <w:color w:val="auto"/>
          <w:sz w:val="24"/>
        </w:rPr>
      </w:pPr>
    </w:p>
    <w:p w14:paraId="6128E8D7">
      <w:pPr>
        <w:spacing w:line="360" w:lineRule="auto"/>
        <w:ind w:firstLine="540" w:firstLineChars="225"/>
        <w:rPr>
          <w:rFonts w:hint="eastAsia" w:ascii="仿宋" w:hAnsi="仿宋" w:eastAsia="仿宋"/>
          <w:color w:val="auto"/>
          <w:sz w:val="24"/>
        </w:rPr>
      </w:pPr>
    </w:p>
    <w:p w14:paraId="66F63533">
      <w:pPr>
        <w:spacing w:line="360" w:lineRule="auto"/>
        <w:rPr>
          <w:rFonts w:hint="eastAsia" w:ascii="仿宋" w:hAnsi="仿宋" w:eastAsia="仿宋"/>
          <w:color w:val="auto"/>
          <w:sz w:val="24"/>
        </w:rPr>
      </w:pPr>
    </w:p>
    <w:p w14:paraId="0716BF67">
      <w:pPr>
        <w:spacing w:line="360" w:lineRule="auto"/>
        <w:ind w:firstLine="540" w:firstLineChars="225"/>
        <w:rPr>
          <w:rFonts w:hint="eastAsia" w:ascii="仿宋" w:hAnsi="仿宋" w:eastAsia="仿宋"/>
          <w:color w:val="auto"/>
          <w:sz w:val="24"/>
          <w:lang w:val="en-US" w:eastAsia="zh-CN"/>
        </w:rPr>
      </w:pPr>
      <w:r>
        <w:rPr>
          <w:rFonts w:hint="eastAsia" w:ascii="仿宋" w:hAnsi="仿宋" w:eastAsia="仿宋"/>
          <w:color w:val="auto"/>
          <w:sz w:val="24"/>
          <w:lang w:val="en-US" w:eastAsia="zh-CN"/>
        </w:rPr>
        <w:t xml:space="preserve">附件二： </w:t>
      </w:r>
      <w:r>
        <w:rPr>
          <w:rFonts w:hint="eastAsia" w:ascii="仿宋" w:hAnsi="仿宋" w:eastAsia="仿宋"/>
          <w:b/>
          <w:bCs/>
          <w:color w:val="auto"/>
          <w:sz w:val="24"/>
          <w:lang w:val="en-US" w:eastAsia="zh-CN"/>
        </w:rPr>
        <w:t>投 标 报 价 单</w:t>
      </w:r>
    </w:p>
    <w:p w14:paraId="15EFF365">
      <w:pPr>
        <w:spacing w:line="360" w:lineRule="auto"/>
        <w:ind w:firstLine="540" w:firstLineChars="225"/>
        <w:rPr>
          <w:rFonts w:hint="eastAsia" w:ascii="仿宋" w:hAnsi="仿宋" w:eastAsia="仿宋"/>
          <w:color w:val="auto"/>
          <w:sz w:val="24"/>
          <w:lang w:val="en-US"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1348"/>
        <w:gridCol w:w="1920"/>
        <w:gridCol w:w="1644"/>
        <w:gridCol w:w="964"/>
        <w:gridCol w:w="986"/>
        <w:gridCol w:w="984"/>
        <w:gridCol w:w="984"/>
      </w:tblGrid>
      <w:tr w14:paraId="2093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61" w:type="dxa"/>
            <w:vAlign w:val="center"/>
          </w:tcPr>
          <w:p w14:paraId="62074136">
            <w:pPr>
              <w:spacing w:line="360" w:lineRule="auto"/>
              <w:jc w:val="center"/>
              <w:rPr>
                <w:rFonts w:hint="eastAsia" w:ascii="仿宋" w:hAnsi="仿宋" w:eastAsia="仿宋"/>
                <w:color w:val="auto"/>
                <w:sz w:val="24"/>
                <w:lang w:val="en-US" w:eastAsia="zh-CN"/>
              </w:rPr>
            </w:pPr>
          </w:p>
          <w:p w14:paraId="2A18189D">
            <w:pPr>
              <w:spacing w:line="360" w:lineRule="auto"/>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序号</w:t>
            </w:r>
          </w:p>
        </w:tc>
        <w:tc>
          <w:tcPr>
            <w:tcW w:w="1348" w:type="dxa"/>
            <w:vAlign w:val="center"/>
          </w:tcPr>
          <w:p w14:paraId="546D87F4">
            <w:pPr>
              <w:spacing w:line="360" w:lineRule="auto"/>
              <w:jc w:val="center"/>
              <w:rPr>
                <w:rFonts w:hint="eastAsia" w:ascii="仿宋" w:hAnsi="仿宋" w:eastAsia="仿宋"/>
                <w:color w:val="auto"/>
                <w:sz w:val="24"/>
                <w:lang w:val="en-US" w:eastAsia="zh-CN"/>
              </w:rPr>
            </w:pPr>
          </w:p>
          <w:p w14:paraId="43C68F2F">
            <w:pPr>
              <w:spacing w:line="360" w:lineRule="auto"/>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需方企业</w:t>
            </w:r>
          </w:p>
        </w:tc>
        <w:tc>
          <w:tcPr>
            <w:tcW w:w="1920" w:type="dxa"/>
            <w:vAlign w:val="center"/>
          </w:tcPr>
          <w:p w14:paraId="5684FFCF">
            <w:pPr>
              <w:spacing w:line="360" w:lineRule="auto"/>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产品名称</w:t>
            </w:r>
          </w:p>
        </w:tc>
        <w:tc>
          <w:tcPr>
            <w:tcW w:w="1644" w:type="dxa"/>
            <w:vAlign w:val="center"/>
          </w:tcPr>
          <w:p w14:paraId="0D864264">
            <w:pPr>
              <w:spacing w:line="360" w:lineRule="auto"/>
              <w:ind w:firstLine="540" w:firstLineChars="225"/>
              <w:jc w:val="center"/>
              <w:rPr>
                <w:rFonts w:hint="eastAsia" w:ascii="仿宋" w:hAnsi="仿宋" w:eastAsia="仿宋"/>
                <w:color w:val="auto"/>
                <w:sz w:val="24"/>
                <w:lang w:val="en-US" w:eastAsia="zh-CN"/>
              </w:rPr>
            </w:pPr>
          </w:p>
          <w:p w14:paraId="5A6EF078">
            <w:pPr>
              <w:spacing w:line="360" w:lineRule="auto"/>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有效浓度</w:t>
            </w:r>
          </w:p>
        </w:tc>
        <w:tc>
          <w:tcPr>
            <w:tcW w:w="964" w:type="dxa"/>
            <w:vAlign w:val="center"/>
          </w:tcPr>
          <w:p w14:paraId="6E14EE0C">
            <w:pPr>
              <w:spacing w:line="360" w:lineRule="auto"/>
              <w:ind w:firstLine="540" w:firstLineChars="225"/>
              <w:jc w:val="center"/>
              <w:rPr>
                <w:rFonts w:hint="eastAsia" w:ascii="仿宋" w:hAnsi="仿宋" w:eastAsia="仿宋"/>
                <w:color w:val="auto"/>
                <w:sz w:val="24"/>
                <w:lang w:val="en-US" w:eastAsia="zh-CN"/>
              </w:rPr>
            </w:pPr>
          </w:p>
          <w:p w14:paraId="58D2DD54">
            <w:pPr>
              <w:spacing w:line="360" w:lineRule="auto"/>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数量</w:t>
            </w:r>
          </w:p>
        </w:tc>
        <w:tc>
          <w:tcPr>
            <w:tcW w:w="986" w:type="dxa"/>
            <w:vAlign w:val="center"/>
          </w:tcPr>
          <w:p w14:paraId="47FB2BB9">
            <w:pPr>
              <w:spacing w:line="360" w:lineRule="auto"/>
              <w:ind w:firstLine="240" w:firstLineChars="100"/>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小桶</w:t>
            </w:r>
          </w:p>
          <w:p w14:paraId="226BE627">
            <w:pPr>
              <w:spacing w:line="360" w:lineRule="auto"/>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（元/KG）</w:t>
            </w:r>
          </w:p>
        </w:tc>
        <w:tc>
          <w:tcPr>
            <w:tcW w:w="984" w:type="dxa"/>
            <w:vAlign w:val="center"/>
          </w:tcPr>
          <w:p w14:paraId="0F6AEF2E">
            <w:pPr>
              <w:spacing w:line="360" w:lineRule="auto"/>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吨桶</w:t>
            </w:r>
          </w:p>
          <w:p w14:paraId="2DBDF9DC">
            <w:pPr>
              <w:spacing w:line="360" w:lineRule="auto"/>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（元/KG）</w:t>
            </w:r>
          </w:p>
        </w:tc>
        <w:tc>
          <w:tcPr>
            <w:tcW w:w="984" w:type="dxa"/>
            <w:vAlign w:val="center"/>
          </w:tcPr>
          <w:p w14:paraId="51A8EB13">
            <w:pPr>
              <w:spacing w:line="360" w:lineRule="auto"/>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槽车</w:t>
            </w:r>
          </w:p>
          <w:p w14:paraId="61BC1292">
            <w:pPr>
              <w:spacing w:line="360" w:lineRule="auto"/>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（元/KG）</w:t>
            </w:r>
          </w:p>
        </w:tc>
      </w:tr>
      <w:tr w14:paraId="47DA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61" w:type="dxa"/>
            <w:vAlign w:val="center"/>
          </w:tcPr>
          <w:p w14:paraId="08A32155">
            <w:pPr>
              <w:spacing w:line="360" w:lineRule="auto"/>
              <w:ind w:firstLine="240" w:firstLineChars="100"/>
              <w:jc w:val="both"/>
              <w:rPr>
                <w:rFonts w:hint="default" w:ascii="仿宋" w:hAnsi="仿宋" w:eastAsia="仿宋"/>
                <w:color w:val="auto"/>
                <w:sz w:val="24"/>
                <w:lang w:val="en-US" w:eastAsia="zh-CN"/>
              </w:rPr>
            </w:pPr>
            <w:r>
              <w:rPr>
                <w:rFonts w:hint="eastAsia" w:ascii="仿宋" w:hAnsi="仿宋" w:eastAsia="仿宋"/>
                <w:color w:val="auto"/>
                <w:sz w:val="24"/>
                <w:lang w:val="en-US" w:eastAsia="zh-CN"/>
              </w:rPr>
              <w:t>1</w:t>
            </w:r>
          </w:p>
        </w:tc>
        <w:tc>
          <w:tcPr>
            <w:tcW w:w="1348" w:type="dxa"/>
            <w:vMerge w:val="restart"/>
            <w:vAlign w:val="center"/>
          </w:tcPr>
          <w:p w14:paraId="0EA2CCF9">
            <w:pPr>
              <w:spacing w:line="360" w:lineRule="auto"/>
              <w:jc w:val="center"/>
              <w:rPr>
                <w:rFonts w:hint="eastAsia" w:ascii="仿宋" w:hAnsi="仿宋" w:eastAsia="仿宋"/>
                <w:color w:val="auto"/>
                <w:sz w:val="24"/>
              </w:rPr>
            </w:pPr>
            <w:r>
              <w:rPr>
                <w:rFonts w:hint="eastAsia" w:ascii="仿宋" w:hAnsi="仿宋" w:eastAsia="仿宋"/>
                <w:color w:val="auto"/>
                <w:sz w:val="24"/>
              </w:rPr>
              <w:t>甘肃传祁</w:t>
            </w:r>
            <w:r>
              <w:rPr>
                <w:rFonts w:hint="eastAsia" w:ascii="仿宋" w:hAnsi="仿宋" w:eastAsia="仿宋"/>
                <w:color w:val="auto"/>
                <w:sz w:val="24"/>
                <w:lang w:val="en-US" w:eastAsia="zh-CN"/>
              </w:rPr>
              <w:t>甘味</w:t>
            </w:r>
            <w:r>
              <w:rPr>
                <w:rFonts w:hint="eastAsia" w:ascii="仿宋" w:hAnsi="仿宋" w:eastAsia="仿宋"/>
                <w:color w:val="auto"/>
                <w:sz w:val="24"/>
              </w:rPr>
              <w:t>乳业有限</w:t>
            </w:r>
            <w:r>
              <w:rPr>
                <w:rFonts w:hint="eastAsia" w:ascii="仿宋" w:hAnsi="仿宋" w:eastAsia="仿宋"/>
                <w:color w:val="auto"/>
                <w:sz w:val="24"/>
                <w:lang w:val="en-US" w:eastAsia="zh-CN"/>
              </w:rPr>
              <w:t>责任</w:t>
            </w:r>
            <w:r>
              <w:rPr>
                <w:rFonts w:hint="eastAsia" w:ascii="仿宋" w:hAnsi="仿宋" w:eastAsia="仿宋"/>
                <w:color w:val="auto"/>
                <w:sz w:val="24"/>
              </w:rPr>
              <w:t>公司</w:t>
            </w:r>
          </w:p>
          <w:p w14:paraId="5050A3FB">
            <w:pPr>
              <w:spacing w:line="360" w:lineRule="auto"/>
              <w:jc w:val="center"/>
              <w:rPr>
                <w:rFonts w:hint="default" w:ascii="仿宋" w:hAnsi="仿宋" w:eastAsia="仿宋"/>
                <w:color w:val="auto"/>
                <w:sz w:val="24"/>
                <w:lang w:val="en-US" w:eastAsia="zh-CN"/>
              </w:rPr>
            </w:pPr>
          </w:p>
        </w:tc>
        <w:tc>
          <w:tcPr>
            <w:tcW w:w="1920" w:type="dxa"/>
            <w:vAlign w:val="center"/>
          </w:tcPr>
          <w:p w14:paraId="19F2933D">
            <w:pPr>
              <w:spacing w:line="360" w:lineRule="auto"/>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复合酸性清洗剂</w:t>
            </w:r>
          </w:p>
        </w:tc>
        <w:tc>
          <w:tcPr>
            <w:tcW w:w="1644" w:type="dxa"/>
            <w:vAlign w:val="center"/>
          </w:tcPr>
          <w:p w14:paraId="14A51B60">
            <w:pPr>
              <w:spacing w:line="360" w:lineRule="auto"/>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45%-55%</w:t>
            </w:r>
          </w:p>
        </w:tc>
        <w:tc>
          <w:tcPr>
            <w:tcW w:w="964" w:type="dxa"/>
            <w:vAlign w:val="center"/>
          </w:tcPr>
          <w:p w14:paraId="004056DA">
            <w:pPr>
              <w:spacing w:line="360" w:lineRule="auto"/>
              <w:ind w:firstLine="240" w:firstLineChars="100"/>
              <w:jc w:val="both"/>
              <w:rPr>
                <w:rFonts w:hint="default" w:ascii="仿宋" w:hAnsi="仿宋" w:eastAsia="仿宋"/>
                <w:color w:val="auto"/>
                <w:sz w:val="24"/>
                <w:lang w:val="en-US" w:eastAsia="zh-CN"/>
              </w:rPr>
            </w:pPr>
            <w:r>
              <w:rPr>
                <w:rFonts w:hint="eastAsia" w:ascii="仿宋" w:hAnsi="仿宋" w:eastAsia="仿宋"/>
                <w:color w:val="auto"/>
                <w:sz w:val="24"/>
                <w:lang w:val="en-US" w:eastAsia="zh-CN"/>
              </w:rPr>
              <w:t>/</w:t>
            </w:r>
          </w:p>
        </w:tc>
        <w:tc>
          <w:tcPr>
            <w:tcW w:w="986" w:type="dxa"/>
            <w:vAlign w:val="center"/>
          </w:tcPr>
          <w:p w14:paraId="4A06DEA5">
            <w:pPr>
              <w:spacing w:line="360" w:lineRule="auto"/>
              <w:ind w:firstLine="540" w:firstLineChars="225"/>
              <w:jc w:val="center"/>
              <w:rPr>
                <w:rFonts w:hint="default" w:ascii="仿宋" w:hAnsi="仿宋" w:eastAsia="仿宋"/>
                <w:color w:val="auto"/>
                <w:sz w:val="24"/>
                <w:lang w:val="en-US" w:eastAsia="zh-CN"/>
              </w:rPr>
            </w:pPr>
          </w:p>
        </w:tc>
        <w:tc>
          <w:tcPr>
            <w:tcW w:w="984" w:type="dxa"/>
            <w:vAlign w:val="center"/>
          </w:tcPr>
          <w:p w14:paraId="66AEF2A0">
            <w:pPr>
              <w:spacing w:line="360" w:lineRule="auto"/>
              <w:ind w:firstLine="540" w:firstLineChars="225"/>
              <w:jc w:val="center"/>
              <w:rPr>
                <w:rFonts w:hint="default" w:ascii="仿宋" w:hAnsi="仿宋" w:eastAsia="仿宋"/>
                <w:color w:val="auto"/>
                <w:sz w:val="24"/>
                <w:lang w:val="en-US" w:eastAsia="zh-CN"/>
              </w:rPr>
            </w:pPr>
          </w:p>
        </w:tc>
        <w:tc>
          <w:tcPr>
            <w:tcW w:w="984" w:type="dxa"/>
            <w:vAlign w:val="center"/>
          </w:tcPr>
          <w:p w14:paraId="0B123B83">
            <w:pPr>
              <w:spacing w:line="360" w:lineRule="auto"/>
              <w:ind w:firstLine="540" w:firstLineChars="225"/>
              <w:jc w:val="center"/>
              <w:rPr>
                <w:rFonts w:hint="default" w:ascii="仿宋" w:hAnsi="仿宋" w:eastAsia="仿宋"/>
                <w:color w:val="auto"/>
                <w:sz w:val="24"/>
                <w:lang w:val="en-US" w:eastAsia="zh-CN"/>
              </w:rPr>
            </w:pPr>
          </w:p>
        </w:tc>
      </w:tr>
      <w:tr w14:paraId="60E9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61" w:type="dxa"/>
            <w:vAlign w:val="center"/>
          </w:tcPr>
          <w:p w14:paraId="59973988">
            <w:pPr>
              <w:spacing w:line="360" w:lineRule="auto"/>
              <w:ind w:firstLine="240" w:firstLineChars="100"/>
              <w:jc w:val="both"/>
              <w:rPr>
                <w:rFonts w:hint="default" w:ascii="仿宋" w:hAnsi="仿宋" w:eastAsia="仿宋"/>
                <w:color w:val="auto"/>
                <w:sz w:val="24"/>
                <w:lang w:val="en-US" w:eastAsia="zh-CN"/>
              </w:rPr>
            </w:pPr>
            <w:r>
              <w:rPr>
                <w:rFonts w:hint="eastAsia" w:ascii="仿宋" w:hAnsi="仿宋" w:eastAsia="仿宋"/>
                <w:color w:val="auto"/>
                <w:sz w:val="24"/>
                <w:lang w:val="en-US" w:eastAsia="zh-CN"/>
              </w:rPr>
              <w:t>2</w:t>
            </w:r>
          </w:p>
        </w:tc>
        <w:tc>
          <w:tcPr>
            <w:tcW w:w="1348" w:type="dxa"/>
            <w:vMerge w:val="continue"/>
            <w:vAlign w:val="center"/>
          </w:tcPr>
          <w:p w14:paraId="7B9F18E0">
            <w:pPr>
              <w:spacing w:line="360" w:lineRule="auto"/>
              <w:jc w:val="center"/>
              <w:rPr>
                <w:rFonts w:hint="default" w:ascii="仿宋" w:hAnsi="仿宋" w:eastAsia="仿宋"/>
                <w:color w:val="auto"/>
                <w:sz w:val="24"/>
                <w:lang w:val="en-US" w:eastAsia="zh-CN"/>
              </w:rPr>
            </w:pPr>
          </w:p>
        </w:tc>
        <w:tc>
          <w:tcPr>
            <w:tcW w:w="1920" w:type="dxa"/>
            <w:vAlign w:val="center"/>
          </w:tcPr>
          <w:p w14:paraId="783E8C78">
            <w:pPr>
              <w:spacing w:line="360" w:lineRule="auto"/>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复合碱性清洗剂</w:t>
            </w:r>
          </w:p>
        </w:tc>
        <w:tc>
          <w:tcPr>
            <w:tcW w:w="1644" w:type="dxa"/>
            <w:vAlign w:val="center"/>
          </w:tcPr>
          <w:p w14:paraId="471BD9F8">
            <w:pPr>
              <w:spacing w:line="360" w:lineRule="auto"/>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45%-50%</w:t>
            </w:r>
          </w:p>
        </w:tc>
        <w:tc>
          <w:tcPr>
            <w:tcW w:w="964" w:type="dxa"/>
            <w:vAlign w:val="center"/>
          </w:tcPr>
          <w:p w14:paraId="4761A7CE">
            <w:pPr>
              <w:spacing w:line="360" w:lineRule="auto"/>
              <w:ind w:firstLine="240" w:firstLineChars="100"/>
              <w:jc w:val="both"/>
              <w:rPr>
                <w:rFonts w:hint="default" w:ascii="仿宋" w:hAnsi="仿宋" w:eastAsia="仿宋"/>
                <w:color w:val="auto"/>
                <w:sz w:val="24"/>
                <w:lang w:val="en-US" w:eastAsia="zh-CN"/>
              </w:rPr>
            </w:pPr>
            <w:r>
              <w:rPr>
                <w:rFonts w:hint="eastAsia" w:ascii="仿宋" w:hAnsi="仿宋" w:eastAsia="仿宋"/>
                <w:color w:val="auto"/>
                <w:sz w:val="24"/>
                <w:lang w:val="en-US" w:eastAsia="zh-CN"/>
              </w:rPr>
              <w:t>/</w:t>
            </w:r>
          </w:p>
        </w:tc>
        <w:tc>
          <w:tcPr>
            <w:tcW w:w="986" w:type="dxa"/>
            <w:vAlign w:val="center"/>
          </w:tcPr>
          <w:p w14:paraId="12B1B9FB">
            <w:pPr>
              <w:spacing w:line="360" w:lineRule="auto"/>
              <w:ind w:firstLine="540" w:firstLineChars="225"/>
              <w:jc w:val="center"/>
              <w:rPr>
                <w:rFonts w:hint="default" w:ascii="仿宋" w:hAnsi="仿宋" w:eastAsia="仿宋"/>
                <w:color w:val="auto"/>
                <w:sz w:val="24"/>
                <w:lang w:val="en-US" w:eastAsia="zh-CN"/>
              </w:rPr>
            </w:pPr>
          </w:p>
        </w:tc>
        <w:tc>
          <w:tcPr>
            <w:tcW w:w="984" w:type="dxa"/>
            <w:vAlign w:val="center"/>
          </w:tcPr>
          <w:p w14:paraId="2E4DCE6F">
            <w:pPr>
              <w:spacing w:line="360" w:lineRule="auto"/>
              <w:ind w:firstLine="540" w:firstLineChars="225"/>
              <w:jc w:val="center"/>
              <w:rPr>
                <w:rFonts w:hint="default" w:ascii="仿宋" w:hAnsi="仿宋" w:eastAsia="仿宋"/>
                <w:color w:val="auto"/>
                <w:sz w:val="24"/>
                <w:lang w:val="en-US" w:eastAsia="zh-CN"/>
              </w:rPr>
            </w:pPr>
          </w:p>
        </w:tc>
        <w:tc>
          <w:tcPr>
            <w:tcW w:w="984" w:type="dxa"/>
            <w:vAlign w:val="center"/>
          </w:tcPr>
          <w:p w14:paraId="4DCA85E4">
            <w:pPr>
              <w:spacing w:line="360" w:lineRule="auto"/>
              <w:ind w:firstLine="540" w:firstLineChars="225"/>
              <w:jc w:val="center"/>
              <w:rPr>
                <w:rFonts w:hint="default" w:ascii="仿宋" w:hAnsi="仿宋" w:eastAsia="仿宋"/>
                <w:color w:val="auto"/>
                <w:sz w:val="24"/>
                <w:lang w:val="en-US" w:eastAsia="zh-CN"/>
              </w:rPr>
            </w:pPr>
          </w:p>
        </w:tc>
      </w:tr>
      <w:tr w14:paraId="6EEC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561" w:type="dxa"/>
            <w:vAlign w:val="center"/>
          </w:tcPr>
          <w:p w14:paraId="7538887F">
            <w:pPr>
              <w:spacing w:line="360" w:lineRule="auto"/>
              <w:ind w:firstLine="240" w:firstLineChars="100"/>
              <w:jc w:val="both"/>
              <w:rPr>
                <w:rFonts w:hint="default" w:ascii="仿宋" w:hAnsi="仿宋" w:eastAsia="仿宋"/>
                <w:color w:val="auto"/>
                <w:sz w:val="24"/>
                <w:lang w:val="en-US" w:eastAsia="zh-CN"/>
              </w:rPr>
            </w:pPr>
            <w:r>
              <w:rPr>
                <w:rFonts w:hint="eastAsia" w:ascii="仿宋" w:hAnsi="仿宋" w:eastAsia="仿宋"/>
                <w:color w:val="auto"/>
                <w:sz w:val="24"/>
                <w:lang w:val="en-US" w:eastAsia="zh-CN"/>
              </w:rPr>
              <w:t>3</w:t>
            </w:r>
          </w:p>
        </w:tc>
        <w:tc>
          <w:tcPr>
            <w:tcW w:w="1348" w:type="dxa"/>
            <w:vMerge w:val="continue"/>
            <w:vAlign w:val="center"/>
          </w:tcPr>
          <w:p w14:paraId="3AFE4D1A">
            <w:pPr>
              <w:spacing w:line="360" w:lineRule="auto"/>
              <w:jc w:val="center"/>
              <w:rPr>
                <w:rFonts w:hint="default" w:ascii="仿宋" w:hAnsi="仿宋" w:eastAsia="仿宋"/>
                <w:color w:val="auto"/>
                <w:sz w:val="24"/>
                <w:lang w:val="en-US" w:eastAsia="zh-CN"/>
              </w:rPr>
            </w:pPr>
          </w:p>
        </w:tc>
        <w:tc>
          <w:tcPr>
            <w:tcW w:w="1920" w:type="dxa"/>
            <w:vAlign w:val="center"/>
          </w:tcPr>
          <w:p w14:paraId="09AE6C5C">
            <w:pPr>
              <w:spacing w:line="360" w:lineRule="auto"/>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过氧乙酸</w:t>
            </w:r>
          </w:p>
        </w:tc>
        <w:tc>
          <w:tcPr>
            <w:tcW w:w="1644" w:type="dxa"/>
            <w:vAlign w:val="center"/>
          </w:tcPr>
          <w:p w14:paraId="64442DDF">
            <w:pPr>
              <w:spacing w:line="360" w:lineRule="auto"/>
              <w:jc w:val="center"/>
              <w:rPr>
                <w:rFonts w:hint="default" w:ascii="仿宋" w:hAnsi="仿宋" w:eastAsia="仿宋"/>
                <w:color w:val="auto"/>
                <w:sz w:val="24"/>
                <w:lang w:val="en-US" w:eastAsia="zh-CN"/>
              </w:rPr>
            </w:pPr>
            <w:r>
              <w:rPr>
                <w:rFonts w:hint="eastAsia" w:ascii="仿宋" w:hAnsi="仿宋" w:eastAsia="仿宋" w:cs="Times New Roman"/>
                <w:color w:val="auto"/>
                <w:kern w:val="2"/>
                <w:sz w:val="24"/>
                <w:szCs w:val="24"/>
                <w:lang w:val="en-US" w:eastAsia="zh-CN" w:bidi="ar-SA"/>
              </w:rPr>
              <w:t>≥15</w:t>
            </w:r>
          </w:p>
        </w:tc>
        <w:tc>
          <w:tcPr>
            <w:tcW w:w="964" w:type="dxa"/>
            <w:vAlign w:val="center"/>
          </w:tcPr>
          <w:p w14:paraId="7C9D766F">
            <w:pPr>
              <w:spacing w:line="360" w:lineRule="auto"/>
              <w:ind w:firstLine="240" w:firstLineChars="100"/>
              <w:jc w:val="both"/>
              <w:rPr>
                <w:rFonts w:hint="default" w:ascii="仿宋" w:hAnsi="仿宋" w:eastAsia="仿宋"/>
                <w:color w:val="auto"/>
                <w:sz w:val="24"/>
                <w:lang w:val="en-US" w:eastAsia="zh-CN"/>
              </w:rPr>
            </w:pPr>
            <w:r>
              <w:rPr>
                <w:rFonts w:hint="eastAsia" w:ascii="仿宋" w:hAnsi="仿宋" w:eastAsia="仿宋"/>
                <w:color w:val="auto"/>
                <w:sz w:val="24"/>
                <w:lang w:val="en-US" w:eastAsia="zh-CN"/>
              </w:rPr>
              <w:t>/</w:t>
            </w:r>
          </w:p>
        </w:tc>
        <w:tc>
          <w:tcPr>
            <w:tcW w:w="986" w:type="dxa"/>
            <w:vAlign w:val="center"/>
          </w:tcPr>
          <w:p w14:paraId="3F4E524A">
            <w:pPr>
              <w:spacing w:line="360" w:lineRule="auto"/>
              <w:ind w:firstLine="540" w:firstLineChars="225"/>
              <w:jc w:val="center"/>
              <w:rPr>
                <w:rFonts w:hint="default" w:ascii="仿宋" w:hAnsi="仿宋" w:eastAsia="仿宋"/>
                <w:color w:val="auto"/>
                <w:sz w:val="24"/>
                <w:lang w:val="en-US" w:eastAsia="zh-CN"/>
              </w:rPr>
            </w:pPr>
          </w:p>
        </w:tc>
        <w:tc>
          <w:tcPr>
            <w:tcW w:w="984" w:type="dxa"/>
            <w:vAlign w:val="center"/>
          </w:tcPr>
          <w:p w14:paraId="6671DB2D">
            <w:pPr>
              <w:spacing w:line="360" w:lineRule="auto"/>
              <w:ind w:firstLine="540" w:firstLineChars="225"/>
              <w:jc w:val="center"/>
              <w:rPr>
                <w:rFonts w:hint="default" w:ascii="仿宋" w:hAnsi="仿宋" w:eastAsia="仿宋"/>
                <w:color w:val="auto"/>
                <w:sz w:val="24"/>
                <w:lang w:val="en-US" w:eastAsia="zh-CN"/>
              </w:rPr>
            </w:pPr>
          </w:p>
        </w:tc>
        <w:tc>
          <w:tcPr>
            <w:tcW w:w="984" w:type="dxa"/>
            <w:vAlign w:val="center"/>
          </w:tcPr>
          <w:p w14:paraId="0DF36D20">
            <w:pPr>
              <w:spacing w:line="360" w:lineRule="auto"/>
              <w:ind w:firstLine="540" w:firstLineChars="225"/>
              <w:jc w:val="center"/>
              <w:rPr>
                <w:rFonts w:hint="default" w:ascii="仿宋" w:hAnsi="仿宋" w:eastAsia="仿宋"/>
                <w:color w:val="auto"/>
                <w:sz w:val="24"/>
                <w:lang w:val="en-US" w:eastAsia="zh-CN"/>
              </w:rPr>
            </w:pPr>
          </w:p>
        </w:tc>
      </w:tr>
    </w:tbl>
    <w:p w14:paraId="0B4952FF">
      <w:pPr>
        <w:spacing w:line="360" w:lineRule="auto"/>
        <w:ind w:firstLine="540" w:firstLineChars="225"/>
        <w:rPr>
          <w:rFonts w:hint="eastAsia" w:ascii="仿宋" w:hAnsi="仿宋" w:eastAsia="仿宋"/>
          <w:color w:val="auto"/>
          <w:sz w:val="24"/>
          <w:lang w:val="en-US" w:eastAsia="zh-CN"/>
        </w:rPr>
      </w:pPr>
    </w:p>
    <w:p w14:paraId="24830F53">
      <w:pPr>
        <w:spacing w:line="360" w:lineRule="auto"/>
        <w:ind w:firstLine="540" w:firstLineChars="225"/>
        <w:rPr>
          <w:rFonts w:hint="eastAsia" w:ascii="仿宋" w:hAnsi="仿宋" w:eastAsia="仿宋"/>
          <w:color w:val="auto"/>
          <w:sz w:val="24"/>
          <w:lang w:val="en-US" w:eastAsia="zh-CN"/>
        </w:rPr>
      </w:pPr>
      <w:r>
        <w:rPr>
          <w:rFonts w:hint="eastAsia" w:ascii="仿宋" w:hAnsi="仿宋" w:eastAsia="仿宋"/>
          <w:color w:val="auto"/>
          <w:sz w:val="24"/>
          <w:lang w:val="en-US" w:eastAsia="zh-CN"/>
        </w:rPr>
        <w:t>说明：1.投标数量以实际发生数量为准；</w:t>
      </w:r>
      <w:bookmarkStart w:id="4" w:name="_GoBack"/>
      <w:bookmarkEnd w:id="4"/>
    </w:p>
    <w:p w14:paraId="0E0E117D">
      <w:pPr>
        <w:spacing w:line="360" w:lineRule="auto"/>
        <w:ind w:firstLine="540" w:firstLineChars="225"/>
        <w:rPr>
          <w:rFonts w:hint="eastAsia" w:ascii="仿宋" w:hAnsi="仿宋" w:eastAsia="仿宋"/>
          <w:color w:val="auto"/>
          <w:sz w:val="24"/>
          <w:lang w:val="en-US" w:eastAsia="zh-CN"/>
        </w:rPr>
      </w:pPr>
      <w:r>
        <w:rPr>
          <w:rFonts w:hint="eastAsia" w:ascii="仿宋" w:hAnsi="仿宋" w:eastAsia="仿宋"/>
          <w:color w:val="auto"/>
          <w:sz w:val="24"/>
          <w:lang w:val="en-US" w:eastAsia="zh-CN"/>
        </w:rPr>
        <w:t xml:space="preserve">      2.本报价为含13%增值税及运费的全价；</w:t>
      </w:r>
    </w:p>
    <w:p w14:paraId="368F2B13">
      <w:pPr>
        <w:spacing w:line="360" w:lineRule="auto"/>
        <w:ind w:firstLine="540" w:firstLineChars="225"/>
        <w:rPr>
          <w:rFonts w:hint="eastAsia" w:ascii="仿宋" w:hAnsi="仿宋" w:eastAsia="仿宋"/>
          <w:color w:val="auto"/>
          <w:sz w:val="24"/>
          <w:lang w:val="en-US" w:eastAsia="zh-CN"/>
        </w:rPr>
      </w:pPr>
      <w:r>
        <w:rPr>
          <w:rFonts w:hint="eastAsia" w:ascii="仿宋" w:hAnsi="仿宋" w:eastAsia="仿宋"/>
          <w:color w:val="auto"/>
          <w:sz w:val="24"/>
          <w:lang w:val="en-US" w:eastAsia="zh-CN"/>
        </w:rPr>
        <w:t xml:space="preserve">      3.投标人可对产品的性能及性价比另行做出详细描述或建议。</w:t>
      </w:r>
    </w:p>
    <w:p w14:paraId="170F3008">
      <w:pPr>
        <w:spacing w:line="360" w:lineRule="auto"/>
        <w:ind w:firstLine="540" w:firstLineChars="225"/>
        <w:rPr>
          <w:rFonts w:hint="eastAsia" w:ascii="仿宋" w:hAnsi="仿宋" w:eastAsia="仿宋"/>
          <w:color w:val="auto"/>
          <w:sz w:val="24"/>
          <w:lang w:val="en-US" w:eastAsia="zh-CN"/>
        </w:rPr>
      </w:pPr>
      <w:r>
        <w:rPr>
          <w:rFonts w:hint="eastAsia" w:ascii="仿宋" w:hAnsi="仿宋" w:eastAsia="仿宋"/>
          <w:color w:val="auto"/>
          <w:sz w:val="24"/>
          <w:lang w:val="en-US" w:eastAsia="zh-CN"/>
        </w:rPr>
        <w:t xml:space="preserve">                                                   投标人：（名称及公章）</w:t>
      </w:r>
    </w:p>
    <w:p w14:paraId="30E15F51">
      <w:pPr>
        <w:spacing w:line="360" w:lineRule="auto"/>
        <w:ind w:firstLine="540" w:firstLineChars="225"/>
        <w:rPr>
          <w:rFonts w:hint="eastAsia" w:ascii="仿宋" w:hAnsi="仿宋" w:eastAsia="仿宋"/>
          <w:color w:val="auto"/>
          <w:sz w:val="24"/>
          <w:lang w:val="en-US" w:eastAsia="zh-CN"/>
        </w:rPr>
      </w:pPr>
      <w:r>
        <w:rPr>
          <w:rFonts w:hint="eastAsia" w:ascii="仿宋" w:hAnsi="仿宋" w:eastAsia="仿宋"/>
          <w:color w:val="auto"/>
          <w:sz w:val="24"/>
          <w:lang w:val="en-US" w:eastAsia="zh-CN"/>
        </w:rPr>
        <w:t xml:space="preserve">                                                   授权代表签字：</w:t>
      </w:r>
    </w:p>
    <w:p w14:paraId="7F7E8E44">
      <w:pPr>
        <w:spacing w:line="360" w:lineRule="auto"/>
        <w:ind w:firstLine="540" w:firstLineChars="225"/>
        <w:rPr>
          <w:rFonts w:hint="default" w:ascii="仿宋" w:hAnsi="仿宋" w:eastAsia="仿宋"/>
          <w:color w:val="auto"/>
          <w:sz w:val="24"/>
          <w:lang w:val="en-US" w:eastAsia="zh-CN"/>
        </w:rPr>
        <w:sectPr>
          <w:pgSz w:w="11906" w:h="16838"/>
          <w:pgMar w:top="1440" w:right="926" w:bottom="1440" w:left="1800" w:header="851" w:footer="992" w:gutter="0"/>
          <w:cols w:space="425" w:num="1"/>
          <w:docGrid w:type="lines" w:linePitch="312" w:charSpace="0"/>
        </w:sectPr>
      </w:pPr>
      <w:r>
        <w:rPr>
          <w:rFonts w:hint="eastAsia" w:ascii="仿宋" w:hAnsi="仿宋" w:eastAsia="仿宋"/>
          <w:color w:val="auto"/>
          <w:sz w:val="24"/>
          <w:lang w:val="en-US" w:eastAsia="zh-CN"/>
        </w:rPr>
        <w:t xml:space="preserve">                                                   填报日期</w:t>
      </w:r>
    </w:p>
    <w:p w14:paraId="28189375">
      <w:pPr>
        <w:spacing w:line="360" w:lineRule="auto"/>
        <w:ind w:firstLine="540" w:firstLineChars="225"/>
        <w:rPr>
          <w:rFonts w:hint="eastAsia" w:ascii="仿宋" w:hAnsi="仿宋" w:eastAsia="仿宋"/>
          <w:color w:val="auto"/>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8F63B">
    <w:pPr>
      <w:pStyle w:val="7"/>
      <w:spacing w:line="46" w:lineRule="auto"/>
      <w:rPr>
        <w:sz w:val="2"/>
      </w:rPr>
    </w:pPr>
    <w:r>
      <mc:AlternateContent>
        <mc:Choice Requires="wps">
          <w:drawing>
            <wp:anchor distT="0" distB="0" distL="114300" distR="114300" simplePos="0" relativeHeight="251661312" behindDoc="0" locked="0" layoutInCell="0" allowOverlap="1">
              <wp:simplePos x="0" y="0"/>
              <wp:positionH relativeFrom="page">
                <wp:posOffset>900430</wp:posOffset>
              </wp:positionH>
              <wp:positionV relativeFrom="page">
                <wp:posOffset>617855</wp:posOffset>
              </wp:positionV>
              <wp:extent cx="5760720" cy="9525"/>
              <wp:effectExtent l="0" t="0" r="0" b="0"/>
              <wp:wrapNone/>
              <wp:docPr id="3" name="矩形 3"/>
              <wp:cNvGraphicFramePr/>
              <a:graphic xmlns:a="http://schemas.openxmlformats.org/drawingml/2006/main">
                <a:graphicData uri="http://schemas.microsoft.com/office/word/2010/wordprocessingShape">
                  <wps:wsp>
                    <wps:cNvSpPr/>
                    <wps:spPr>
                      <a:xfrm>
                        <a:off x="0" y="0"/>
                        <a:ext cx="576072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0.9pt;margin-top:48.65pt;height:0.75pt;width:453.6pt;mso-position-horizontal-relative:page;mso-position-vertical-relative:page;z-index:251661312;mso-width-relative:page;mso-height-relative:page;" fillcolor="#000000" filled="t" stroked="f" coordsize="21600,21600" o:allowincell="f" o:gfxdata="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SOMqNgA&#10;AAAKAQAADwAAAAAAAAABACAAAAAiAAAAZHJzL2Rvd25yZXYueG1sUEsBAhQAFAAAAAgAh07iQKeX&#10;Q2utAQAAXQMAAA4AAAAAAAAAAQAgAAAAJwEAAGRycy9lMm9Eb2MueG1sUEsFBgAAAAAGAAYAWQEA&#10;AEYFAAAAAA==&#10;">
              <v:fill on="t" focussize="0,0"/>
              <v:stroke on="f"/>
              <v:imagedata o:title=""/>
              <o:lock v:ext="edit" aspectratio="f"/>
            </v:rect>
          </w:pict>
        </mc:Fallback>
      </mc:AlternateContent>
    </w:r>
    <w:r>
      <w:drawing>
        <wp:anchor distT="0" distB="0" distL="114300" distR="114300" simplePos="0" relativeHeight="251660288" behindDoc="1" locked="0" layoutInCell="0" allowOverlap="1">
          <wp:simplePos x="0" y="0"/>
          <wp:positionH relativeFrom="page">
            <wp:posOffset>1507490</wp:posOffset>
          </wp:positionH>
          <wp:positionV relativeFrom="page">
            <wp:posOffset>3144520</wp:posOffset>
          </wp:positionV>
          <wp:extent cx="4683125" cy="4511675"/>
          <wp:effectExtent l="0" t="0" r="3175" b="317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4683125" cy="45116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65C2A">
    <w:pPr>
      <w:pStyle w:val="7"/>
      <w:spacing w:line="46" w:lineRule="auto"/>
      <w:rPr>
        <w:sz w:val="2"/>
      </w:rPr>
    </w:pPr>
    <w:r>
      <mc:AlternateContent>
        <mc:Choice Requires="wps">
          <w:drawing>
            <wp:anchor distT="0" distB="0" distL="114300" distR="114300" simplePos="0" relativeHeight="251662336" behindDoc="0" locked="0" layoutInCell="0" allowOverlap="1">
              <wp:simplePos x="0" y="0"/>
              <wp:positionH relativeFrom="page">
                <wp:posOffset>900430</wp:posOffset>
              </wp:positionH>
              <wp:positionV relativeFrom="page">
                <wp:posOffset>617855</wp:posOffset>
              </wp:positionV>
              <wp:extent cx="5760720" cy="9525"/>
              <wp:effectExtent l="0" t="0" r="0" b="0"/>
              <wp:wrapNone/>
              <wp:docPr id="5" name="矩形 5"/>
              <wp:cNvGraphicFramePr/>
              <a:graphic xmlns:a="http://schemas.openxmlformats.org/drawingml/2006/main">
                <a:graphicData uri="http://schemas.microsoft.com/office/word/2010/wordprocessingShape">
                  <wps:wsp>
                    <wps:cNvSpPr/>
                    <wps:spPr>
                      <a:xfrm>
                        <a:off x="0" y="0"/>
                        <a:ext cx="576072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0.9pt;margin-top:48.65pt;height:0.75pt;width:453.6pt;mso-position-horizontal-relative:page;mso-position-vertical-relative:page;z-index:251662336;mso-width-relative:page;mso-height-relative:page;" fillcolor="#000000" filled="t" stroked="f" coordsize="21600,21600" o:allowincell="f" o:gfxdata="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KSOM&#10;qNgAAAAKAQAADwAAAAAAAAABACAAAAAiAAAAZHJzL2Rvd25yZXYueG1sUEsBAhQAFAAAAAgAh07i&#10;QP0gaGSwAQAAXQMAAA4AAAAAAAAAAQAgAAAAJwEAAGRycy9lMm9Eb2MueG1sUEsFBgAAAAAGAAYA&#10;WQEAAEkFAAAAAA==&#10;">
              <v:fill on="t" focussize="0,0"/>
              <v:stroke on="f"/>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8D1B98"/>
    <w:multiLevelType w:val="singleLevel"/>
    <w:tmpl w:val="D08D1B98"/>
    <w:lvl w:ilvl="0" w:tentative="0">
      <w:start w:val="2"/>
      <w:numFmt w:val="decimal"/>
      <w:suff w:val="nothing"/>
      <w:lvlText w:val="%1、"/>
      <w:lvlJc w:val="left"/>
    </w:lvl>
  </w:abstractNum>
  <w:abstractNum w:abstractNumId="1">
    <w:nsid w:val="DAF10C02"/>
    <w:multiLevelType w:val="singleLevel"/>
    <w:tmpl w:val="DAF10C02"/>
    <w:lvl w:ilvl="0" w:tentative="0">
      <w:start w:val="7"/>
      <w:numFmt w:val="decimal"/>
      <w:suff w:val="nothing"/>
      <w:lvlText w:val="%1、"/>
      <w:lvlJc w:val="left"/>
    </w:lvl>
  </w:abstractNum>
  <w:abstractNum w:abstractNumId="2">
    <w:nsid w:val="0000000A"/>
    <w:multiLevelType w:val="multilevel"/>
    <w:tmpl w:val="0000000A"/>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ZmRkZWI4YWM0MTJhYmM5OTU5ZmYzNGJjYjFmNzUifQ=="/>
  </w:docVars>
  <w:rsids>
    <w:rsidRoot w:val="00000000"/>
    <w:rsid w:val="003F23CE"/>
    <w:rsid w:val="004B2B21"/>
    <w:rsid w:val="005C6ADC"/>
    <w:rsid w:val="0066795B"/>
    <w:rsid w:val="009C70B3"/>
    <w:rsid w:val="0159301C"/>
    <w:rsid w:val="0204742C"/>
    <w:rsid w:val="02663C42"/>
    <w:rsid w:val="02B50726"/>
    <w:rsid w:val="02CB619B"/>
    <w:rsid w:val="02D212D8"/>
    <w:rsid w:val="03125B78"/>
    <w:rsid w:val="033B527C"/>
    <w:rsid w:val="03BE185C"/>
    <w:rsid w:val="04025BED"/>
    <w:rsid w:val="041779D6"/>
    <w:rsid w:val="0438616D"/>
    <w:rsid w:val="04A70542"/>
    <w:rsid w:val="04BE5FB8"/>
    <w:rsid w:val="04F456CA"/>
    <w:rsid w:val="05597A8E"/>
    <w:rsid w:val="058F1702"/>
    <w:rsid w:val="0599432F"/>
    <w:rsid w:val="059B1E55"/>
    <w:rsid w:val="05F170FC"/>
    <w:rsid w:val="05F23A3F"/>
    <w:rsid w:val="06823015"/>
    <w:rsid w:val="06A72A7B"/>
    <w:rsid w:val="06C62F02"/>
    <w:rsid w:val="07797F74"/>
    <w:rsid w:val="078801B7"/>
    <w:rsid w:val="078E2A94"/>
    <w:rsid w:val="07F817E1"/>
    <w:rsid w:val="08162CBC"/>
    <w:rsid w:val="083F5E36"/>
    <w:rsid w:val="08732C15"/>
    <w:rsid w:val="088210AA"/>
    <w:rsid w:val="08B576D2"/>
    <w:rsid w:val="08CB2A51"/>
    <w:rsid w:val="08F77E32"/>
    <w:rsid w:val="09047D11"/>
    <w:rsid w:val="09F41B3F"/>
    <w:rsid w:val="0A073F5D"/>
    <w:rsid w:val="0A451CF0"/>
    <w:rsid w:val="0A6273E5"/>
    <w:rsid w:val="0AA25A34"/>
    <w:rsid w:val="0B077F8D"/>
    <w:rsid w:val="0B0E4E77"/>
    <w:rsid w:val="0B666A61"/>
    <w:rsid w:val="0BA47589"/>
    <w:rsid w:val="0BAC23AF"/>
    <w:rsid w:val="0C1B5A9E"/>
    <w:rsid w:val="0C4A1EDF"/>
    <w:rsid w:val="0C57284E"/>
    <w:rsid w:val="0C5965C6"/>
    <w:rsid w:val="0C5C1C12"/>
    <w:rsid w:val="0C601702"/>
    <w:rsid w:val="0CF12CA2"/>
    <w:rsid w:val="0D4728C2"/>
    <w:rsid w:val="0D5D20E6"/>
    <w:rsid w:val="0E1A1D85"/>
    <w:rsid w:val="0E356BBF"/>
    <w:rsid w:val="0EE26D46"/>
    <w:rsid w:val="0F706100"/>
    <w:rsid w:val="0F745336"/>
    <w:rsid w:val="0FB26719"/>
    <w:rsid w:val="0FC401FA"/>
    <w:rsid w:val="0FD0094D"/>
    <w:rsid w:val="10046849"/>
    <w:rsid w:val="104D01F0"/>
    <w:rsid w:val="106A6FF4"/>
    <w:rsid w:val="106F63B8"/>
    <w:rsid w:val="10761145"/>
    <w:rsid w:val="10A32505"/>
    <w:rsid w:val="10B84553"/>
    <w:rsid w:val="10FB7C4C"/>
    <w:rsid w:val="10FD39C4"/>
    <w:rsid w:val="110C12EC"/>
    <w:rsid w:val="11C646FD"/>
    <w:rsid w:val="11E20E0C"/>
    <w:rsid w:val="121216F1"/>
    <w:rsid w:val="12617F82"/>
    <w:rsid w:val="12843C71"/>
    <w:rsid w:val="12BB3B36"/>
    <w:rsid w:val="12CC7AF2"/>
    <w:rsid w:val="136E2957"/>
    <w:rsid w:val="14261483"/>
    <w:rsid w:val="14504752"/>
    <w:rsid w:val="14AF1479"/>
    <w:rsid w:val="14B4083D"/>
    <w:rsid w:val="14E07884"/>
    <w:rsid w:val="15714980"/>
    <w:rsid w:val="15E618B9"/>
    <w:rsid w:val="164C7F84"/>
    <w:rsid w:val="165A18B8"/>
    <w:rsid w:val="16E318AE"/>
    <w:rsid w:val="170830C2"/>
    <w:rsid w:val="17771FF6"/>
    <w:rsid w:val="17802452"/>
    <w:rsid w:val="17C76AD9"/>
    <w:rsid w:val="17D631C0"/>
    <w:rsid w:val="17E53404"/>
    <w:rsid w:val="17EE4066"/>
    <w:rsid w:val="1844012A"/>
    <w:rsid w:val="18532FFB"/>
    <w:rsid w:val="18954E2A"/>
    <w:rsid w:val="19EF2318"/>
    <w:rsid w:val="1A005123"/>
    <w:rsid w:val="1A023DF9"/>
    <w:rsid w:val="1A32761E"/>
    <w:rsid w:val="1A495ECC"/>
    <w:rsid w:val="1A5F124B"/>
    <w:rsid w:val="1A952EBF"/>
    <w:rsid w:val="1AE41750"/>
    <w:rsid w:val="1AEA1DAE"/>
    <w:rsid w:val="1B6F3710"/>
    <w:rsid w:val="1B7A3E63"/>
    <w:rsid w:val="1B9779D3"/>
    <w:rsid w:val="1B9A62B3"/>
    <w:rsid w:val="1C984EE8"/>
    <w:rsid w:val="1CDA2E0B"/>
    <w:rsid w:val="1D990F18"/>
    <w:rsid w:val="1DA358F3"/>
    <w:rsid w:val="1DFC3255"/>
    <w:rsid w:val="1E0F4D36"/>
    <w:rsid w:val="1F0B693B"/>
    <w:rsid w:val="1F394761"/>
    <w:rsid w:val="1F511C17"/>
    <w:rsid w:val="1F692520"/>
    <w:rsid w:val="1FC54B9D"/>
    <w:rsid w:val="1FEB3581"/>
    <w:rsid w:val="203E7B55"/>
    <w:rsid w:val="20474C5B"/>
    <w:rsid w:val="20CC6F0F"/>
    <w:rsid w:val="210466A8"/>
    <w:rsid w:val="21360D0E"/>
    <w:rsid w:val="215A451A"/>
    <w:rsid w:val="2210107D"/>
    <w:rsid w:val="22237002"/>
    <w:rsid w:val="223C6316"/>
    <w:rsid w:val="2369313B"/>
    <w:rsid w:val="23703365"/>
    <w:rsid w:val="23706277"/>
    <w:rsid w:val="237C2E6E"/>
    <w:rsid w:val="23871813"/>
    <w:rsid w:val="23AC3027"/>
    <w:rsid w:val="23FD2329"/>
    <w:rsid w:val="2406098A"/>
    <w:rsid w:val="269D37EC"/>
    <w:rsid w:val="26AE772A"/>
    <w:rsid w:val="26FE1DEC"/>
    <w:rsid w:val="274E4B21"/>
    <w:rsid w:val="27D25752"/>
    <w:rsid w:val="280478D6"/>
    <w:rsid w:val="280653FC"/>
    <w:rsid w:val="281F64BE"/>
    <w:rsid w:val="295B52D4"/>
    <w:rsid w:val="29A547A1"/>
    <w:rsid w:val="2AB31059"/>
    <w:rsid w:val="2AD70285"/>
    <w:rsid w:val="2B326508"/>
    <w:rsid w:val="2B514BE0"/>
    <w:rsid w:val="2C22032B"/>
    <w:rsid w:val="2C5A5D16"/>
    <w:rsid w:val="2C6D60EB"/>
    <w:rsid w:val="2C8A076E"/>
    <w:rsid w:val="2CA64AB8"/>
    <w:rsid w:val="2CF20D72"/>
    <w:rsid w:val="2D0F6B01"/>
    <w:rsid w:val="2D3F1999"/>
    <w:rsid w:val="2D652BC5"/>
    <w:rsid w:val="2D6A01DB"/>
    <w:rsid w:val="2DA134D1"/>
    <w:rsid w:val="2DA75B41"/>
    <w:rsid w:val="2DE7182C"/>
    <w:rsid w:val="2E1955F5"/>
    <w:rsid w:val="2EEE2746"/>
    <w:rsid w:val="2F5B602D"/>
    <w:rsid w:val="2F9B0B20"/>
    <w:rsid w:val="30182170"/>
    <w:rsid w:val="30384799"/>
    <w:rsid w:val="30AE03DF"/>
    <w:rsid w:val="30BD0622"/>
    <w:rsid w:val="30D057F2"/>
    <w:rsid w:val="30F46739"/>
    <w:rsid w:val="30FD4EC2"/>
    <w:rsid w:val="315076E8"/>
    <w:rsid w:val="31576CC8"/>
    <w:rsid w:val="31F12C79"/>
    <w:rsid w:val="32252923"/>
    <w:rsid w:val="324C7EAF"/>
    <w:rsid w:val="32B83797"/>
    <w:rsid w:val="33095DA0"/>
    <w:rsid w:val="33264BA4"/>
    <w:rsid w:val="334D2131"/>
    <w:rsid w:val="335C05C6"/>
    <w:rsid w:val="33AF6948"/>
    <w:rsid w:val="33D12D62"/>
    <w:rsid w:val="33DF6B01"/>
    <w:rsid w:val="33E22FD7"/>
    <w:rsid w:val="33F75197"/>
    <w:rsid w:val="347D07F4"/>
    <w:rsid w:val="34C76CCB"/>
    <w:rsid w:val="34E40873"/>
    <w:rsid w:val="35042CC3"/>
    <w:rsid w:val="351078BA"/>
    <w:rsid w:val="35365A59"/>
    <w:rsid w:val="355E6877"/>
    <w:rsid w:val="359C68C5"/>
    <w:rsid w:val="359D0A22"/>
    <w:rsid w:val="35F5085E"/>
    <w:rsid w:val="36034D29"/>
    <w:rsid w:val="367E0853"/>
    <w:rsid w:val="368B560A"/>
    <w:rsid w:val="36B67FED"/>
    <w:rsid w:val="37A97B52"/>
    <w:rsid w:val="38593326"/>
    <w:rsid w:val="3864644F"/>
    <w:rsid w:val="389425B0"/>
    <w:rsid w:val="38AE3672"/>
    <w:rsid w:val="38B8629F"/>
    <w:rsid w:val="39180AEB"/>
    <w:rsid w:val="39B822CE"/>
    <w:rsid w:val="39C649EB"/>
    <w:rsid w:val="3A7D06FB"/>
    <w:rsid w:val="3A970136"/>
    <w:rsid w:val="3AB26D1E"/>
    <w:rsid w:val="3BCE7B87"/>
    <w:rsid w:val="3C6D55F2"/>
    <w:rsid w:val="3CA2012A"/>
    <w:rsid w:val="3CCD42E3"/>
    <w:rsid w:val="3CDA15B9"/>
    <w:rsid w:val="3CED04E1"/>
    <w:rsid w:val="3D2E14E1"/>
    <w:rsid w:val="3D581DFE"/>
    <w:rsid w:val="3D670293"/>
    <w:rsid w:val="3DAF5A43"/>
    <w:rsid w:val="3E315B3B"/>
    <w:rsid w:val="3E3363C7"/>
    <w:rsid w:val="3E382EA1"/>
    <w:rsid w:val="3E5500EC"/>
    <w:rsid w:val="3E612F34"/>
    <w:rsid w:val="3E950E30"/>
    <w:rsid w:val="3EA577A1"/>
    <w:rsid w:val="3F2E3FA6"/>
    <w:rsid w:val="3F7A2500"/>
    <w:rsid w:val="3FCC0881"/>
    <w:rsid w:val="401F4E55"/>
    <w:rsid w:val="406B3BF6"/>
    <w:rsid w:val="4093139F"/>
    <w:rsid w:val="40B01F51"/>
    <w:rsid w:val="40BF3C72"/>
    <w:rsid w:val="40E5601A"/>
    <w:rsid w:val="40FE2CBD"/>
    <w:rsid w:val="411424E0"/>
    <w:rsid w:val="41994793"/>
    <w:rsid w:val="41C22273"/>
    <w:rsid w:val="42254279"/>
    <w:rsid w:val="42B5384F"/>
    <w:rsid w:val="432E715D"/>
    <w:rsid w:val="43505326"/>
    <w:rsid w:val="43754D8C"/>
    <w:rsid w:val="43AF64F0"/>
    <w:rsid w:val="43C26223"/>
    <w:rsid w:val="43D61CCF"/>
    <w:rsid w:val="443C3F29"/>
    <w:rsid w:val="44416217"/>
    <w:rsid w:val="447D65EE"/>
    <w:rsid w:val="44817E8C"/>
    <w:rsid w:val="44CE6E4A"/>
    <w:rsid w:val="44F71EFD"/>
    <w:rsid w:val="45CA5863"/>
    <w:rsid w:val="45CB0510"/>
    <w:rsid w:val="45D67D64"/>
    <w:rsid w:val="45F91CA4"/>
    <w:rsid w:val="468123C6"/>
    <w:rsid w:val="47A81BD4"/>
    <w:rsid w:val="48E1539E"/>
    <w:rsid w:val="49184B37"/>
    <w:rsid w:val="49A563CB"/>
    <w:rsid w:val="4AF81AFF"/>
    <w:rsid w:val="4B0C4228"/>
    <w:rsid w:val="4B15132F"/>
    <w:rsid w:val="4B1B110F"/>
    <w:rsid w:val="4BDF193C"/>
    <w:rsid w:val="4BEE392E"/>
    <w:rsid w:val="4C0D64AA"/>
    <w:rsid w:val="4C975D73"/>
    <w:rsid w:val="4CA7245A"/>
    <w:rsid w:val="4CF51418"/>
    <w:rsid w:val="4D477799"/>
    <w:rsid w:val="4DF416CF"/>
    <w:rsid w:val="4E5913F6"/>
    <w:rsid w:val="4E604FB7"/>
    <w:rsid w:val="4E7E543D"/>
    <w:rsid w:val="4ED67027"/>
    <w:rsid w:val="4F532425"/>
    <w:rsid w:val="4F6939F7"/>
    <w:rsid w:val="4F744245"/>
    <w:rsid w:val="4F8D1DDB"/>
    <w:rsid w:val="4FF97471"/>
    <w:rsid w:val="504F7091"/>
    <w:rsid w:val="50B34595"/>
    <w:rsid w:val="50BB574F"/>
    <w:rsid w:val="50E7551B"/>
    <w:rsid w:val="50FE2865"/>
    <w:rsid w:val="51136310"/>
    <w:rsid w:val="516528E4"/>
    <w:rsid w:val="518A5EA7"/>
    <w:rsid w:val="51AE6039"/>
    <w:rsid w:val="51B66C9C"/>
    <w:rsid w:val="520B348B"/>
    <w:rsid w:val="52406D4D"/>
    <w:rsid w:val="52816712"/>
    <w:rsid w:val="529D131B"/>
    <w:rsid w:val="529F5982"/>
    <w:rsid w:val="52B0193D"/>
    <w:rsid w:val="52B753C1"/>
    <w:rsid w:val="52B7716F"/>
    <w:rsid w:val="52CD24EF"/>
    <w:rsid w:val="530219FE"/>
    <w:rsid w:val="5325057D"/>
    <w:rsid w:val="534C3D5B"/>
    <w:rsid w:val="53BA0CC5"/>
    <w:rsid w:val="53BF452D"/>
    <w:rsid w:val="53DD2C05"/>
    <w:rsid w:val="54571E44"/>
    <w:rsid w:val="548412D3"/>
    <w:rsid w:val="548968E9"/>
    <w:rsid w:val="549D4858"/>
    <w:rsid w:val="54DC2EBD"/>
    <w:rsid w:val="55195EBF"/>
    <w:rsid w:val="55681E6C"/>
    <w:rsid w:val="55E069DD"/>
    <w:rsid w:val="575E405D"/>
    <w:rsid w:val="57743881"/>
    <w:rsid w:val="57FB365A"/>
    <w:rsid w:val="583F5C3D"/>
    <w:rsid w:val="58FE1654"/>
    <w:rsid w:val="59273821"/>
    <w:rsid w:val="593F4F59"/>
    <w:rsid w:val="594F3DF6"/>
    <w:rsid w:val="59B60181"/>
    <w:rsid w:val="59E7033A"/>
    <w:rsid w:val="5A1453FE"/>
    <w:rsid w:val="5AF26F96"/>
    <w:rsid w:val="5BB63E03"/>
    <w:rsid w:val="5BDE751B"/>
    <w:rsid w:val="5C6B34A4"/>
    <w:rsid w:val="5C9347A9"/>
    <w:rsid w:val="5CA00C74"/>
    <w:rsid w:val="5D543F38"/>
    <w:rsid w:val="5D8660BC"/>
    <w:rsid w:val="5DF64FF0"/>
    <w:rsid w:val="5E03770C"/>
    <w:rsid w:val="5E056FE1"/>
    <w:rsid w:val="5E3B6EA6"/>
    <w:rsid w:val="5E4C10B3"/>
    <w:rsid w:val="5E512226"/>
    <w:rsid w:val="5E5166CA"/>
    <w:rsid w:val="5ED370DF"/>
    <w:rsid w:val="5FC642E4"/>
    <w:rsid w:val="5FCD1D80"/>
    <w:rsid w:val="5FD96977"/>
    <w:rsid w:val="6008725C"/>
    <w:rsid w:val="60885CA7"/>
    <w:rsid w:val="60D62EB6"/>
    <w:rsid w:val="60E2185B"/>
    <w:rsid w:val="60E5591C"/>
    <w:rsid w:val="60E750C3"/>
    <w:rsid w:val="611834CF"/>
    <w:rsid w:val="614B11AE"/>
    <w:rsid w:val="6151253D"/>
    <w:rsid w:val="617E77D6"/>
    <w:rsid w:val="6189648B"/>
    <w:rsid w:val="627961EF"/>
    <w:rsid w:val="62D82F16"/>
    <w:rsid w:val="62DD052C"/>
    <w:rsid w:val="63147CC6"/>
    <w:rsid w:val="63365E8E"/>
    <w:rsid w:val="635A392B"/>
    <w:rsid w:val="63FC70D8"/>
    <w:rsid w:val="64432611"/>
    <w:rsid w:val="6457430E"/>
    <w:rsid w:val="652266CA"/>
    <w:rsid w:val="65757142"/>
    <w:rsid w:val="65764C68"/>
    <w:rsid w:val="65B21804"/>
    <w:rsid w:val="665705F5"/>
    <w:rsid w:val="665F56FC"/>
    <w:rsid w:val="66C739CD"/>
    <w:rsid w:val="66F127F8"/>
    <w:rsid w:val="6760172C"/>
    <w:rsid w:val="679A4C3E"/>
    <w:rsid w:val="67EB5499"/>
    <w:rsid w:val="681E586F"/>
    <w:rsid w:val="685079F2"/>
    <w:rsid w:val="688D6550"/>
    <w:rsid w:val="6891032A"/>
    <w:rsid w:val="68B25FB7"/>
    <w:rsid w:val="6985191D"/>
    <w:rsid w:val="6A246A40"/>
    <w:rsid w:val="6B284EB3"/>
    <w:rsid w:val="6BF80185"/>
    <w:rsid w:val="6C20148A"/>
    <w:rsid w:val="6C4E59E6"/>
    <w:rsid w:val="6C804DEF"/>
    <w:rsid w:val="6C9D0D2C"/>
    <w:rsid w:val="6D61130D"/>
    <w:rsid w:val="6D655CEE"/>
    <w:rsid w:val="6D68133A"/>
    <w:rsid w:val="6D6F26C8"/>
    <w:rsid w:val="6D8A7502"/>
    <w:rsid w:val="6DC9002B"/>
    <w:rsid w:val="6DCA78FF"/>
    <w:rsid w:val="6DD10C8D"/>
    <w:rsid w:val="6E027099"/>
    <w:rsid w:val="6E1B45FE"/>
    <w:rsid w:val="6E2F3C06"/>
    <w:rsid w:val="6E70494A"/>
    <w:rsid w:val="6E8B52E0"/>
    <w:rsid w:val="6EAE5472"/>
    <w:rsid w:val="6EBE56B6"/>
    <w:rsid w:val="6F03756C"/>
    <w:rsid w:val="6F4D6A39"/>
    <w:rsid w:val="6FA75122"/>
    <w:rsid w:val="6FB97C2B"/>
    <w:rsid w:val="704716DB"/>
    <w:rsid w:val="70E84C6C"/>
    <w:rsid w:val="70E909E4"/>
    <w:rsid w:val="71066EA0"/>
    <w:rsid w:val="71131A08"/>
    <w:rsid w:val="714B51FB"/>
    <w:rsid w:val="7157594D"/>
    <w:rsid w:val="7185070D"/>
    <w:rsid w:val="72135D18"/>
    <w:rsid w:val="726C5429"/>
    <w:rsid w:val="727C2D17"/>
    <w:rsid w:val="729606F7"/>
    <w:rsid w:val="731D4975"/>
    <w:rsid w:val="73375A36"/>
    <w:rsid w:val="73487C44"/>
    <w:rsid w:val="73A11102"/>
    <w:rsid w:val="73C372CA"/>
    <w:rsid w:val="73FF07E0"/>
    <w:rsid w:val="74687E72"/>
    <w:rsid w:val="74D15A17"/>
    <w:rsid w:val="75063912"/>
    <w:rsid w:val="753164B5"/>
    <w:rsid w:val="756E770A"/>
    <w:rsid w:val="75866801"/>
    <w:rsid w:val="758D5DE2"/>
    <w:rsid w:val="75952EE8"/>
    <w:rsid w:val="760A11E0"/>
    <w:rsid w:val="76612DCA"/>
    <w:rsid w:val="766D176F"/>
    <w:rsid w:val="76AD7DBE"/>
    <w:rsid w:val="77B51620"/>
    <w:rsid w:val="77C6382D"/>
    <w:rsid w:val="7840538D"/>
    <w:rsid w:val="78C95383"/>
    <w:rsid w:val="78FD502C"/>
    <w:rsid w:val="79600E0C"/>
    <w:rsid w:val="79B7167F"/>
    <w:rsid w:val="79B871A5"/>
    <w:rsid w:val="79DF0BD6"/>
    <w:rsid w:val="79F943F8"/>
    <w:rsid w:val="7AB23BF5"/>
    <w:rsid w:val="7ADE3B09"/>
    <w:rsid w:val="7B50217B"/>
    <w:rsid w:val="7B5D6256"/>
    <w:rsid w:val="7B9C6D7F"/>
    <w:rsid w:val="7B9E5E41"/>
    <w:rsid w:val="7C3F595C"/>
    <w:rsid w:val="7C4F2043"/>
    <w:rsid w:val="7C5E5DE2"/>
    <w:rsid w:val="7C756583"/>
    <w:rsid w:val="7CDB1DAE"/>
    <w:rsid w:val="7D5479B5"/>
    <w:rsid w:val="7DA92FD0"/>
    <w:rsid w:val="7DBB54B6"/>
    <w:rsid w:val="7DF664EA"/>
    <w:rsid w:val="7E6F411D"/>
    <w:rsid w:val="7E8B0313"/>
    <w:rsid w:val="7EE47618"/>
    <w:rsid w:val="7EFC18E2"/>
    <w:rsid w:val="7F3948E4"/>
    <w:rsid w:val="7F5047EB"/>
    <w:rsid w:val="7F5E434B"/>
    <w:rsid w:val="7F663995"/>
    <w:rsid w:val="7F9D30C5"/>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unhideWhenUsed/>
    <w:qFormat/>
    <w:uiPriority w:val="9"/>
    <w:pPr>
      <w:keepNext/>
      <w:keepLines/>
      <w:spacing w:after="5" w:line="259" w:lineRule="auto"/>
      <w:ind w:left="10" w:hanging="10"/>
      <w:outlineLvl w:val="0"/>
    </w:pPr>
    <w:rPr>
      <w:rFonts w:ascii="黑体" w:hAnsi="黑体" w:eastAsia="黑体" w:cs="黑体"/>
      <w:color w:val="000000"/>
      <w:kern w:val="2"/>
      <w:sz w:val="32"/>
      <w:szCs w:val="22"/>
      <w:lang w:val="en-US" w:eastAsia="zh-CN" w:bidi="ar-SA"/>
    </w:rPr>
  </w:style>
  <w:style w:type="paragraph" w:styleId="3">
    <w:name w:val="heading 2"/>
    <w:basedOn w:val="1"/>
    <w:next w:val="1"/>
    <w:autoRedefine/>
    <w:unhideWhenUsed/>
    <w:qFormat/>
    <w:uiPriority w:val="9"/>
    <w:pPr>
      <w:keepNext/>
      <w:keepLines/>
      <w:spacing w:after="176" w:line="259" w:lineRule="auto"/>
      <w:ind w:left="10" w:hanging="10"/>
      <w:outlineLvl w:val="1"/>
    </w:pPr>
    <w:rPr>
      <w:rFonts w:ascii="黑体" w:hAnsi="黑体" w:eastAsia="黑体" w:cs="黑体"/>
      <w:color w:val="000000"/>
      <w:kern w:val="2"/>
      <w:sz w:val="32"/>
      <w:szCs w:val="22"/>
      <w:lang w:val="en-US" w:eastAsia="zh-CN" w:bidi="ar-SA"/>
    </w:rPr>
  </w:style>
  <w:style w:type="paragraph" w:styleId="4">
    <w:name w:val="heading 3"/>
    <w:next w:val="1"/>
    <w:autoRedefine/>
    <w:unhideWhenUsed/>
    <w:qFormat/>
    <w:uiPriority w:val="9"/>
    <w:pPr>
      <w:keepNext/>
      <w:keepLines/>
      <w:spacing w:after="5" w:line="259" w:lineRule="auto"/>
      <w:ind w:left="10" w:hanging="10"/>
      <w:outlineLvl w:val="2"/>
    </w:pPr>
    <w:rPr>
      <w:rFonts w:ascii="黑体" w:hAnsi="黑体" w:eastAsia="黑体" w:cs="黑体"/>
      <w:color w:val="000000"/>
      <w:kern w:val="2"/>
      <w:sz w:val="32"/>
      <w:szCs w:val="22"/>
      <w:lang w:val="en-US" w:eastAsia="zh-CN" w:bidi="ar-SA"/>
    </w:rPr>
  </w:style>
  <w:style w:type="paragraph" w:styleId="5">
    <w:name w:val="heading 4"/>
    <w:next w:val="1"/>
    <w:autoRedefine/>
    <w:unhideWhenUsed/>
    <w:qFormat/>
    <w:uiPriority w:val="9"/>
    <w:pPr>
      <w:keepNext/>
      <w:keepLines/>
      <w:spacing w:after="5" w:line="259" w:lineRule="auto"/>
      <w:ind w:left="10" w:hanging="10"/>
      <w:outlineLvl w:val="3"/>
    </w:pPr>
    <w:rPr>
      <w:rFonts w:ascii="黑体" w:hAnsi="黑体" w:eastAsia="黑体" w:cs="黑体"/>
      <w:color w:val="000000"/>
      <w:kern w:val="2"/>
      <w:sz w:val="32"/>
      <w:szCs w:val="22"/>
      <w:lang w:val="en-US" w:eastAsia="zh-CN" w:bidi="ar-SA"/>
    </w:rPr>
  </w:style>
  <w:style w:type="paragraph" w:styleId="6">
    <w:name w:val="heading 5"/>
    <w:next w:val="1"/>
    <w:autoRedefine/>
    <w:unhideWhenUsed/>
    <w:qFormat/>
    <w:uiPriority w:val="9"/>
    <w:pPr>
      <w:keepNext/>
      <w:keepLines/>
      <w:spacing w:after="5" w:line="259" w:lineRule="auto"/>
      <w:ind w:left="10" w:hanging="10"/>
      <w:outlineLvl w:val="4"/>
    </w:pPr>
    <w:rPr>
      <w:rFonts w:ascii="黑体" w:hAnsi="黑体" w:eastAsia="黑体" w:cs="黑体"/>
      <w:color w:val="000000"/>
      <w:kern w:val="2"/>
      <w:sz w:val="32"/>
      <w:szCs w:val="22"/>
      <w:lang w:val="en-US" w:eastAsia="zh-CN" w:bidi="ar-SA"/>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Body Text Indent"/>
    <w:basedOn w:val="1"/>
    <w:autoRedefine/>
    <w:qFormat/>
    <w:uiPriority w:val="0"/>
    <w:pPr>
      <w:ind w:firstLine="830" w:firstLineChars="352"/>
    </w:pPr>
    <w:rPr>
      <w:rFonts w:ascii="仿宋_GB2312" w:eastAsia="仿宋_GB2312"/>
      <w:sz w:val="32"/>
      <w:szCs w:val="20"/>
    </w:rPr>
  </w:style>
  <w:style w:type="paragraph" w:styleId="9">
    <w:name w:val="Plain Text"/>
    <w:basedOn w:val="1"/>
    <w:autoRedefine/>
    <w:qFormat/>
    <w:uiPriority w:val="0"/>
    <w:rPr>
      <w:rFonts w:ascii="宋体" w:hAnsi="Courier New" w:eastAsia="宋体" w:cs="Times New Roman"/>
      <w:szCs w:val="20"/>
    </w:rPr>
  </w:style>
  <w:style w:type="paragraph" w:styleId="10">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styleId="11">
    <w:name w:val="Body Text First Indent 2"/>
    <w:basedOn w:val="8"/>
    <w:autoRedefine/>
    <w:semiHidden/>
    <w:unhideWhenUsed/>
    <w:qFormat/>
    <w:uiPriority w:val="99"/>
    <w:pPr>
      <w:ind w:firstLine="200" w:firstLineChars="2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qFormat/>
    <w:uiPriority w:val="0"/>
    <w:rPr>
      <w:color w:val="0000FF"/>
      <w:u w:val="single"/>
    </w:rPr>
  </w:style>
  <w:style w:type="table" w:customStyle="1" w:styleId="16">
    <w:name w:val="TableGrid"/>
    <w:autoRedefine/>
    <w:qFormat/>
    <w:uiPriority w:val="0"/>
    <w:tblPr>
      <w:tblCellMar>
        <w:top w:w="0" w:type="dxa"/>
        <w:left w:w="0" w:type="dxa"/>
        <w:bottom w:w="0" w:type="dxa"/>
        <w:right w:w="0" w:type="dxa"/>
      </w:tblCellMar>
    </w:tbl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5017</Words>
  <Characters>5460</Characters>
  <Lines>0</Lines>
  <Paragraphs>0</Paragraphs>
  <TotalTime>0</TotalTime>
  <ScaleCrop>false</ScaleCrop>
  <LinksUpToDate>false</LinksUpToDate>
  <CharactersWithSpaces>6028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2024-03-06T08:22:00Z</dcterms:created>
  <dc:creator>Administrator</dc:creator>
  <cp:lastModifiedBy>十一</cp:lastModifiedBy>
  <dcterms:modified xsi:type="dcterms:W3CDTF">2025-08-01T08:56:54Z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92D92687A1EB4E4686A3B5E5C5E8C7FC_13</vt:lpwstr>
  </property>
  <property fmtid="{D5CDD505-2E9C-101B-9397-08002B2CF9AE}" pid="4" name="KSOTemplateDocerSaveRecord">
    <vt:lpwstr>eyJoZGlkIjoiZDAxMWRmZDUzMzQzYzIxYjA1NDBmZTg5YzFmYmVjZjUiLCJ1c2VySWQiOiIxMjY4MDMyODU0In0=</vt:lpwstr>
  </property>
</Properties>
</file>